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0E2FAC1">
      <w:pPr>
        <w:bidi w:val="0"/>
        <w:jc w:val="center"/>
        <w:rPr>
          <w:rFonts w:hint="eastAsia" w:ascii="黑体" w:hAnsi="黑体" w:eastAsia="黑体" w:cs="黑体"/>
          <w:sz w:val="40"/>
          <w:szCs w:val="44"/>
          <w:lang w:val="en-US" w:eastAsia="zh-CN"/>
        </w:rPr>
      </w:pPr>
      <w:r>
        <w:rPr>
          <w:rFonts w:hint="eastAsia" w:ascii="黑体" w:hAnsi="黑体" w:eastAsia="黑体" w:cs="黑体"/>
          <w:sz w:val="40"/>
          <w:szCs w:val="44"/>
          <w:lang w:val="en-US" w:eastAsia="zh-CN"/>
        </w:rPr>
        <w:t>一带一路：格鲁吉亚矿产资源概况</w:t>
      </w:r>
    </w:p>
    <w:p w14:paraId="2528B33B">
      <w:pPr>
        <w:bidi w:val="0"/>
        <w:ind w:firstLine="480" w:firstLineChars="200"/>
        <w:jc w:val="left"/>
        <w:rPr>
          <w:rFonts w:hint="eastAsia" w:ascii="方正仿宋_GB2312" w:hAnsi="方正仿宋_GB2312" w:eastAsia="方正仿宋_GB2312" w:cs="方正仿宋_GB2312"/>
          <w:sz w:val="24"/>
          <w:szCs w:val="28"/>
        </w:rPr>
      </w:pPr>
    </w:p>
    <w:p w14:paraId="190FF39D">
      <w:pPr>
        <w:bidi w:val="0"/>
        <w:ind w:firstLine="480" w:firstLineChars="200"/>
        <w:rPr>
          <w:rFonts w:hint="eastAsia" w:ascii="方正仿宋_GB2312" w:hAnsi="方正仿宋_GB2312" w:eastAsia="方正仿宋_GB2312" w:cs="方正仿宋_GB2312"/>
          <w:sz w:val="24"/>
          <w:szCs w:val="28"/>
          <w:lang w:val="en-US" w:eastAsia="zh-CN"/>
        </w:rPr>
      </w:pPr>
      <w:r>
        <w:rPr>
          <w:rFonts w:hint="eastAsia" w:ascii="方正仿宋_GB2312" w:hAnsi="方正仿宋_GB2312" w:eastAsia="方正仿宋_GB2312" w:cs="方正仿宋_GB2312"/>
          <w:sz w:val="24"/>
          <w:szCs w:val="28"/>
          <w:lang w:val="en-US" w:eastAsia="zh-CN"/>
        </w:rPr>
        <w:t>格鲁吉亚作为外高加索、一带一路沿线节点国，矿产资源齐全，优势矿种为锰矿，铜金多金属矿也有稳定资源。经过多年改革发展，目前格鲁吉亚法律和营商环境相对较好，且已与中国签署了自由贸易协定。</w:t>
      </w:r>
    </w:p>
    <w:p w14:paraId="20EF6211">
      <w:pPr>
        <w:bidi w:val="0"/>
        <w:ind w:firstLine="480" w:firstLineChars="200"/>
        <w:rPr>
          <w:rFonts w:hint="eastAsia" w:ascii="方正仿宋_GB2312" w:hAnsi="方正仿宋_GB2312" w:eastAsia="方正仿宋_GB2312" w:cs="方正仿宋_GB2312"/>
          <w:sz w:val="24"/>
          <w:szCs w:val="28"/>
          <w:lang w:val="en-US" w:eastAsia="zh-CN"/>
        </w:rPr>
      </w:pPr>
    </w:p>
    <w:p w14:paraId="50B7BE65">
      <w:pPr>
        <w:bidi w:val="0"/>
        <w:rPr>
          <w:rFonts w:hint="eastAsia" w:ascii="方正仿宋_GB2312" w:hAnsi="方正仿宋_GB2312" w:eastAsia="方正仿宋_GB2312" w:cs="方正仿宋_GB2312"/>
          <w:b/>
          <w:bCs/>
          <w:sz w:val="24"/>
          <w:szCs w:val="28"/>
          <w:lang w:val="en-US" w:eastAsia="zh-CN"/>
        </w:rPr>
      </w:pPr>
      <w:r>
        <w:rPr>
          <w:rFonts w:hint="eastAsia" w:ascii="方正仿宋_GB2312" w:hAnsi="方正仿宋_GB2312" w:eastAsia="方正仿宋_GB2312" w:cs="方正仿宋_GB2312"/>
          <w:b/>
          <w:bCs/>
          <w:sz w:val="24"/>
          <w:szCs w:val="28"/>
        </w:rPr>
        <w:t>一、</w:t>
      </w:r>
      <w:r>
        <w:rPr>
          <w:rFonts w:hint="eastAsia" w:ascii="方正仿宋_GB2312" w:hAnsi="方正仿宋_GB2312" w:eastAsia="方正仿宋_GB2312" w:cs="方正仿宋_GB2312"/>
          <w:b/>
          <w:bCs/>
          <w:sz w:val="24"/>
          <w:szCs w:val="28"/>
          <w:lang w:val="en-US" w:eastAsia="zh-CN"/>
        </w:rPr>
        <w:t>基本介绍</w:t>
      </w:r>
    </w:p>
    <w:p w14:paraId="645E95A9">
      <w:pPr>
        <w:bidi w:val="0"/>
        <w:rPr>
          <w:rFonts w:hint="eastAsia" w:ascii="方正仿宋_GB2312" w:hAnsi="方正仿宋_GB2312" w:eastAsia="方正仿宋_GB2312" w:cs="方正仿宋_GB2312"/>
          <w:sz w:val="24"/>
          <w:szCs w:val="28"/>
          <w:lang w:eastAsia="zh-CN"/>
        </w:rPr>
      </w:pPr>
      <w:r>
        <w:rPr>
          <w:rFonts w:hint="eastAsia" w:ascii="方正仿宋_GB2312" w:hAnsi="方正仿宋_GB2312" w:eastAsia="方正仿宋_GB2312" w:cs="方正仿宋_GB2312"/>
          <w:b/>
          <w:bCs/>
          <w:sz w:val="24"/>
          <w:szCs w:val="28"/>
          <w:lang w:val="en-US" w:eastAsia="zh-CN"/>
        </w:rPr>
        <w:t>1.面积：</w:t>
      </w:r>
      <w:r>
        <w:rPr>
          <w:rFonts w:hint="eastAsia" w:ascii="方正仿宋_GB2312" w:hAnsi="方正仿宋_GB2312" w:eastAsia="方正仿宋_GB2312" w:cs="方正仿宋_GB2312"/>
          <w:sz w:val="24"/>
          <w:szCs w:val="28"/>
          <w:lang w:val="en-US" w:eastAsia="zh-CN"/>
        </w:rPr>
        <w:t>49.12</w:t>
      </w:r>
      <w:r>
        <w:rPr>
          <w:rFonts w:hint="eastAsia" w:ascii="方正仿宋_GB2312" w:hAnsi="方正仿宋_GB2312" w:eastAsia="方正仿宋_GB2312" w:cs="方正仿宋_GB2312"/>
          <w:sz w:val="24"/>
          <w:szCs w:val="28"/>
          <w:lang w:eastAsia="zh-CN"/>
        </w:rPr>
        <w:t>万平方公里</w:t>
      </w:r>
    </w:p>
    <w:p w14:paraId="1BE98593">
      <w:pPr>
        <w:numPr>
          <w:ilvl w:val="0"/>
          <w:numId w:val="0"/>
        </w:numPr>
        <w:bidi w:val="0"/>
        <w:rPr>
          <w:rFonts w:hint="default" w:ascii="方正仿宋_GB2312" w:hAnsi="方正仿宋_GB2312" w:eastAsia="方正仿宋_GB2312" w:cs="方正仿宋_GB2312"/>
          <w:sz w:val="24"/>
          <w:szCs w:val="28"/>
          <w:lang w:val="en-US" w:eastAsia="zh-CN"/>
        </w:rPr>
      </w:pPr>
      <w:r>
        <w:rPr>
          <w:rFonts w:hint="eastAsia" w:ascii="方正仿宋_GB2312" w:hAnsi="方正仿宋_GB2312" w:eastAsia="方正仿宋_GB2312" w:cs="方正仿宋_GB2312"/>
          <w:b/>
          <w:bCs/>
          <w:sz w:val="24"/>
          <w:szCs w:val="28"/>
          <w:lang w:val="en-US" w:eastAsia="zh-CN"/>
        </w:rPr>
        <w:t>2.人口：391.40</w:t>
      </w:r>
      <w:r>
        <w:rPr>
          <w:rFonts w:hint="eastAsia" w:ascii="方正仿宋_GB2312" w:hAnsi="方正仿宋_GB2312" w:eastAsia="方正仿宋_GB2312" w:cs="方正仿宋_GB2312"/>
          <w:sz w:val="24"/>
          <w:szCs w:val="28"/>
          <w:lang w:val="en-US" w:eastAsia="zh-CN"/>
        </w:rPr>
        <w:t>万人</w:t>
      </w:r>
    </w:p>
    <w:p w14:paraId="77896D65">
      <w:pPr>
        <w:numPr>
          <w:ilvl w:val="0"/>
          <w:numId w:val="0"/>
        </w:numPr>
        <w:bidi w:val="0"/>
        <w:rPr>
          <w:rFonts w:hint="eastAsia" w:ascii="方正仿宋_GB2312" w:hAnsi="方正仿宋_GB2312" w:eastAsia="方正仿宋_GB2312" w:cs="方正仿宋_GB2312"/>
          <w:sz w:val="24"/>
          <w:szCs w:val="28"/>
          <w:lang w:val="en-US" w:eastAsia="zh-CN"/>
        </w:rPr>
      </w:pPr>
      <w:r>
        <w:rPr>
          <w:rFonts w:hint="eastAsia" w:ascii="方正仿宋_GB2312" w:hAnsi="方正仿宋_GB2312" w:eastAsia="方正仿宋_GB2312" w:cs="方正仿宋_GB2312"/>
          <w:b/>
          <w:bCs/>
          <w:sz w:val="24"/>
          <w:szCs w:val="28"/>
          <w:lang w:val="en-US" w:eastAsia="zh-CN"/>
        </w:rPr>
        <w:t>3.首都：</w:t>
      </w:r>
      <w:r>
        <w:rPr>
          <w:rFonts w:hint="eastAsia" w:ascii="方正仿宋_GB2312" w:hAnsi="方正仿宋_GB2312" w:eastAsia="方正仿宋_GB2312" w:cs="方正仿宋_GB2312"/>
          <w:b w:val="0"/>
          <w:bCs w:val="0"/>
          <w:sz w:val="24"/>
          <w:szCs w:val="28"/>
          <w:lang w:val="en-US" w:eastAsia="zh-CN"/>
        </w:rPr>
        <w:t>第比利斯</w:t>
      </w:r>
      <w:bookmarkStart w:id="0" w:name="_GoBack"/>
      <w:bookmarkEnd w:id="0"/>
      <w:r>
        <w:rPr>
          <w:rFonts w:hint="eastAsia" w:ascii="方正仿宋_GB2312" w:hAnsi="方正仿宋_GB2312" w:eastAsia="方正仿宋_GB2312" w:cs="方正仿宋_GB2312"/>
          <w:b/>
          <w:bCs/>
          <w:sz w:val="24"/>
          <w:szCs w:val="28"/>
          <w:lang w:val="en-US" w:eastAsia="zh-CN"/>
        </w:rPr>
        <w:t>‌</w:t>
      </w:r>
    </w:p>
    <w:p w14:paraId="6CD258C0">
      <w:pPr>
        <w:numPr>
          <w:ilvl w:val="0"/>
          <w:numId w:val="0"/>
        </w:numPr>
        <w:bidi w:val="0"/>
        <w:rPr>
          <w:rFonts w:hint="eastAsia" w:ascii="方正仿宋_GB2312" w:hAnsi="方正仿宋_GB2312" w:eastAsia="方正仿宋_GB2312" w:cs="方正仿宋_GB2312"/>
          <w:sz w:val="24"/>
          <w:szCs w:val="28"/>
          <w:lang w:val="en-US" w:eastAsia="zh-CN"/>
        </w:rPr>
      </w:pPr>
    </w:p>
    <w:p w14:paraId="0F3EE4F5">
      <w:pPr>
        <w:bidi w:val="0"/>
        <w:rPr>
          <w:rFonts w:hint="eastAsia" w:ascii="方正仿宋_GB2312" w:hAnsi="方正仿宋_GB2312" w:eastAsia="方正仿宋_GB2312" w:cs="方正仿宋_GB2312"/>
          <w:b/>
          <w:bCs/>
          <w:sz w:val="24"/>
          <w:szCs w:val="28"/>
        </w:rPr>
      </w:pPr>
      <w:r>
        <w:rPr>
          <w:rFonts w:hint="eastAsia" w:ascii="方正仿宋_GB2312" w:hAnsi="方正仿宋_GB2312" w:eastAsia="方正仿宋_GB2312" w:cs="方正仿宋_GB2312"/>
          <w:b/>
          <w:bCs/>
          <w:sz w:val="24"/>
          <w:szCs w:val="28"/>
          <w:lang w:val="en-US" w:eastAsia="zh-CN"/>
        </w:rPr>
        <w:t>二</w:t>
      </w:r>
      <w:r>
        <w:rPr>
          <w:rFonts w:hint="eastAsia" w:ascii="方正仿宋_GB2312" w:hAnsi="方正仿宋_GB2312" w:eastAsia="方正仿宋_GB2312" w:cs="方正仿宋_GB2312"/>
          <w:b/>
          <w:bCs/>
          <w:sz w:val="24"/>
          <w:szCs w:val="28"/>
        </w:rPr>
        <w:t>、</w:t>
      </w:r>
      <w:r>
        <w:rPr>
          <w:rFonts w:hint="eastAsia" w:ascii="方正仿宋_GB2312" w:hAnsi="方正仿宋_GB2312" w:eastAsia="方正仿宋_GB2312" w:cs="方正仿宋_GB2312"/>
          <w:b/>
          <w:bCs/>
          <w:sz w:val="24"/>
          <w:szCs w:val="28"/>
          <w:lang w:val="en-US" w:eastAsia="zh-CN"/>
        </w:rPr>
        <w:t>地理位置及</w:t>
      </w:r>
      <w:r>
        <w:rPr>
          <w:rFonts w:hint="eastAsia" w:ascii="方正仿宋_GB2312" w:hAnsi="方正仿宋_GB2312" w:eastAsia="方正仿宋_GB2312" w:cs="方正仿宋_GB2312"/>
          <w:b/>
          <w:bCs/>
          <w:sz w:val="24"/>
          <w:szCs w:val="28"/>
        </w:rPr>
        <w:t>气候条件</w:t>
      </w:r>
    </w:p>
    <w:p w14:paraId="13183064">
      <w:pPr>
        <w:bidi w:val="0"/>
        <w:ind w:firstLine="480" w:firstLineChars="200"/>
        <w:rPr>
          <w:rFonts w:hint="eastAsia" w:ascii="方正仿宋_GB2312" w:hAnsi="方正仿宋_GB2312" w:eastAsia="方正仿宋_GB2312" w:cs="方正仿宋_GB2312"/>
          <w:sz w:val="24"/>
          <w:szCs w:val="28"/>
          <w:lang w:val="en-US" w:eastAsia="zh-CN"/>
        </w:rPr>
      </w:pPr>
      <w:r>
        <w:rPr>
          <w:rFonts w:hint="eastAsia" w:ascii="方正仿宋_GB2312" w:hAnsi="方正仿宋_GB2312" w:eastAsia="方正仿宋_GB2312" w:cs="方正仿宋_GB2312"/>
          <w:sz w:val="24"/>
          <w:szCs w:val="28"/>
          <w:lang w:val="en-US" w:eastAsia="zh-CN"/>
        </w:rPr>
        <w:t>格鲁吉亚国土面积6.97万平方公里。位于外高加索中西部，地处欧亚交界，北接俄罗斯，东南和南部分别与阿塞拜疆和亚美尼亚相邻，西南与土耳其接壤。格鲁吉亚陆地国际边界总长1461公里，其中与俄罗斯的共同边界线长723公里、亚美尼亚164公里、阿塞拜疆322公里、土耳其252公里。格鲁吉亚西濒黑海，沿黑海海岸线长310公里。北部是大高加索山脉，南部是小高加索山脉，中间为山间低地、平原和高原，80%的国土为山地、山麓或山前丘陵地带，50%的国土在海拔1000米以上。</w:t>
      </w:r>
    </w:p>
    <w:p w14:paraId="4298962D">
      <w:pPr>
        <w:bidi w:val="0"/>
        <w:ind w:firstLine="480" w:firstLineChars="200"/>
        <w:rPr>
          <w:rFonts w:hint="eastAsia" w:ascii="方正仿宋_GB2312" w:hAnsi="方正仿宋_GB2312" w:eastAsia="方正仿宋_GB2312" w:cs="方正仿宋_GB2312"/>
          <w:sz w:val="24"/>
          <w:szCs w:val="28"/>
          <w:lang w:val="en-US" w:eastAsia="zh-CN"/>
        </w:rPr>
      </w:pPr>
      <w:r>
        <w:rPr>
          <w:rFonts w:hint="eastAsia" w:ascii="方正仿宋_GB2312" w:hAnsi="方正仿宋_GB2312" w:eastAsia="方正仿宋_GB2312" w:cs="方正仿宋_GB2312"/>
          <w:sz w:val="24"/>
          <w:szCs w:val="28"/>
          <w:lang w:val="en-US" w:eastAsia="zh-CN"/>
        </w:rPr>
        <w:t>格鲁吉亚大部分地区呈高山地带特征。西部属亚热带地中海式气候，温暖、湿润、多雨，年降水量达1000至2500毫米；东部略显干燥，却较为凉爽宜人，年降水量在400至1500毫米之间。格地处北纬40°至45°之间，且在大高加索山脉南麓，日照充足，平均达2500小时/年。年平均气温15.8℃左右，其中第比利斯市夏季气温最高可达42℃，冬季最低可达零下10℃。全年四季分明，5月春暖花开，9-10月水果飘香，气候宜人。</w:t>
      </w:r>
    </w:p>
    <w:p w14:paraId="02247368">
      <w:pPr>
        <w:bidi w:val="0"/>
        <w:ind w:firstLine="480" w:firstLineChars="200"/>
        <w:rPr>
          <w:rFonts w:hint="eastAsia" w:ascii="方正仿宋_GB2312" w:hAnsi="方正仿宋_GB2312" w:eastAsia="方正仿宋_GB2312" w:cs="方正仿宋_GB2312"/>
          <w:sz w:val="24"/>
          <w:szCs w:val="28"/>
          <w:lang w:val="en-US" w:eastAsia="zh-CN"/>
        </w:rPr>
      </w:pPr>
    </w:p>
    <w:p w14:paraId="67AF3192">
      <w:pPr>
        <w:keepNext w:val="0"/>
        <w:keepLines w:val="0"/>
        <w:pageBreakBefore w:val="0"/>
        <w:widowControl w:val="0"/>
        <w:numPr>
          <w:ilvl w:val="0"/>
          <w:numId w:val="1"/>
        </w:numPr>
        <w:kinsoku/>
        <w:wordWrap/>
        <w:overflowPunct/>
        <w:topLinePunct w:val="0"/>
        <w:autoSpaceDE/>
        <w:autoSpaceDN/>
        <w:bidi w:val="0"/>
        <w:adjustRightInd/>
        <w:snapToGrid/>
        <w:ind w:left="482" w:leftChars="0" w:hanging="482" w:hangingChars="200"/>
        <w:textAlignment w:val="auto"/>
        <w:rPr>
          <w:rFonts w:hint="eastAsia" w:ascii="方正仿宋_GB2312" w:hAnsi="方正仿宋_GB2312" w:eastAsia="方正仿宋_GB2312" w:cs="方正仿宋_GB2312"/>
          <w:b/>
          <w:bCs/>
          <w:sz w:val="24"/>
          <w:szCs w:val="28"/>
          <w:lang w:val="en-US" w:eastAsia="zh-CN"/>
        </w:rPr>
      </w:pPr>
      <w:r>
        <w:rPr>
          <w:rFonts w:hint="eastAsia" w:ascii="方正仿宋_GB2312" w:hAnsi="方正仿宋_GB2312" w:eastAsia="方正仿宋_GB2312" w:cs="方正仿宋_GB2312"/>
          <w:b/>
          <w:bCs/>
          <w:sz w:val="24"/>
          <w:szCs w:val="28"/>
          <w:lang w:val="en-US" w:eastAsia="zh-CN"/>
        </w:rPr>
        <w:t>矿业核心数据</w:t>
      </w:r>
    </w:p>
    <w:p w14:paraId="02F7D990">
      <w:pPr>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方正仿宋_GB2312" w:hAnsi="方正仿宋_GB2312" w:eastAsia="方正仿宋_GB2312" w:cs="方正仿宋_GB2312"/>
          <w:sz w:val="24"/>
          <w:szCs w:val="28"/>
          <w:lang w:val="en-US" w:eastAsia="zh-CN"/>
        </w:rPr>
      </w:pPr>
      <w:r>
        <w:rPr>
          <w:rFonts w:hint="eastAsia" w:ascii="方正仿宋_GB2312" w:hAnsi="方正仿宋_GB2312" w:eastAsia="方正仿宋_GB2312" w:cs="方正仿宋_GB2312"/>
          <w:sz w:val="24"/>
          <w:szCs w:val="28"/>
          <w:lang w:val="en-US" w:eastAsia="zh-CN"/>
        </w:rPr>
        <w:t xml:space="preserve">1. 锰矿：主产区为奇阿图拉，探明矿石储量：2.2～2.34 亿吨，可开采储量约 1.6 亿吨，平均品位约 22%～26% </w:t>
      </w:r>
    </w:p>
    <w:p w14:paraId="30381BDA">
      <w:pPr>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方正仿宋_GB2312" w:hAnsi="方正仿宋_GB2312" w:eastAsia="方正仿宋_GB2312" w:cs="方正仿宋_GB2312"/>
          <w:sz w:val="24"/>
          <w:szCs w:val="28"/>
          <w:lang w:val="en-US" w:eastAsia="zh-CN"/>
        </w:rPr>
      </w:pPr>
      <w:r>
        <w:rPr>
          <w:rFonts w:hint="eastAsia" w:ascii="方正仿宋_GB2312" w:hAnsi="方正仿宋_GB2312" w:eastAsia="方正仿宋_GB2312" w:cs="方正仿宋_GB2312"/>
          <w:sz w:val="24"/>
          <w:szCs w:val="28"/>
          <w:lang w:val="en-US" w:eastAsia="zh-CN"/>
        </w:rPr>
        <w:t>2. 铜-金多金属：博尔尼西成矿带上，其中马德纽利超大型多金属矿是格鲁吉亚最大铜矿、金矿，矿石总资源量约 6000 万吨，伴生金、银、锌、重晶石。</w:t>
      </w:r>
    </w:p>
    <w:p w14:paraId="476721A2">
      <w:pPr>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方正仿宋_GB2312" w:hAnsi="方正仿宋_GB2312" w:eastAsia="方正仿宋_GB2312" w:cs="方正仿宋_GB2312"/>
          <w:sz w:val="24"/>
          <w:szCs w:val="28"/>
          <w:lang w:val="en-US" w:eastAsia="zh-CN"/>
        </w:rPr>
      </w:pPr>
      <w:r>
        <w:rPr>
          <w:rFonts w:hint="eastAsia" w:ascii="方正仿宋_GB2312" w:hAnsi="方正仿宋_GB2312" w:eastAsia="方正仿宋_GB2312" w:cs="方正仿宋_GB2312"/>
          <w:sz w:val="24"/>
          <w:szCs w:val="28"/>
          <w:lang w:val="en-US" w:eastAsia="zh-CN"/>
        </w:rPr>
        <w:t>3. 铅、锌、重晶石：博尔尼西矿区，多与铜矿共生；重晶石为格鲁吉亚特色非金属伴生矿。</w:t>
      </w:r>
    </w:p>
    <w:p w14:paraId="3AD59846">
      <w:pPr>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方正仿宋_GB2312" w:hAnsi="方正仿宋_GB2312" w:eastAsia="方正仿宋_GB2312" w:cs="方正仿宋_GB2312"/>
          <w:sz w:val="24"/>
          <w:szCs w:val="28"/>
          <w:lang w:val="en-US" w:eastAsia="zh-CN"/>
        </w:rPr>
      </w:pPr>
      <w:r>
        <w:rPr>
          <w:rFonts w:hint="eastAsia" w:ascii="方正仿宋_GB2312" w:hAnsi="方正仿宋_GB2312" w:eastAsia="方正仿宋_GB2312" w:cs="方正仿宋_GB2312"/>
          <w:sz w:val="24"/>
          <w:szCs w:val="28"/>
          <w:lang w:val="en-US" w:eastAsia="zh-CN"/>
        </w:rPr>
        <w:t>4. 铁矿：波拉达乌里铁矿床，矿石储量约 2000 万吨，品位 30%–60%，。</w:t>
      </w:r>
    </w:p>
    <w:p w14:paraId="6B1B3BEF">
      <w:pPr>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方正仿宋_GB2312" w:hAnsi="方正仿宋_GB2312" w:eastAsia="方正仿宋_GB2312" w:cs="方正仿宋_GB2312"/>
          <w:sz w:val="24"/>
          <w:szCs w:val="28"/>
          <w:lang w:val="en-US" w:eastAsia="zh-CN"/>
        </w:rPr>
      </w:pPr>
      <w:r>
        <w:rPr>
          <w:rFonts w:hint="eastAsia" w:ascii="方正仿宋_GB2312" w:hAnsi="方正仿宋_GB2312" w:eastAsia="方正仿宋_GB2312" w:cs="方正仿宋_GB2312"/>
          <w:sz w:val="24"/>
          <w:szCs w:val="28"/>
          <w:lang w:val="en-US" w:eastAsia="zh-CN"/>
        </w:rPr>
        <w:t>5. 煤炭：特基布利（Tkibuli），硬煤探明储量约 2 亿吨；褐煤远景资源约 7 亿吨。</w:t>
      </w:r>
    </w:p>
    <w:p w14:paraId="54444477">
      <w:pPr>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方正仿宋_GB2312" w:hAnsi="方正仿宋_GB2312" w:eastAsia="方正仿宋_GB2312" w:cs="方正仿宋_GB2312"/>
          <w:sz w:val="24"/>
          <w:szCs w:val="28"/>
          <w:lang w:val="en-US" w:eastAsia="zh-CN"/>
        </w:rPr>
      </w:pPr>
    </w:p>
    <w:p w14:paraId="71046023">
      <w:pPr>
        <w:numPr>
          <w:ilvl w:val="0"/>
          <w:numId w:val="2"/>
        </w:numPr>
        <w:bidi w:val="0"/>
        <w:rPr>
          <w:rFonts w:hint="eastAsia" w:ascii="方正仿宋_GB2312" w:hAnsi="方正仿宋_GB2312" w:eastAsia="方正仿宋_GB2312" w:cs="方正仿宋_GB2312"/>
          <w:b/>
          <w:bCs/>
          <w:sz w:val="24"/>
          <w:szCs w:val="28"/>
        </w:rPr>
      </w:pPr>
      <w:r>
        <w:rPr>
          <w:rFonts w:hint="eastAsia" w:ascii="方正仿宋_GB2312" w:hAnsi="方正仿宋_GB2312" w:eastAsia="方正仿宋_GB2312" w:cs="方正仿宋_GB2312"/>
          <w:b/>
          <w:bCs/>
          <w:sz w:val="24"/>
          <w:szCs w:val="28"/>
          <w:lang w:val="en-US" w:eastAsia="zh-CN"/>
        </w:rPr>
        <w:t>对外合作</w:t>
      </w:r>
    </w:p>
    <w:p w14:paraId="62CB598F">
      <w:pPr>
        <w:bidi w:val="0"/>
        <w:ind w:firstLine="480" w:firstLineChars="200"/>
        <w:rPr>
          <w:rFonts w:hint="eastAsia" w:ascii="方正仿宋_GB2312" w:hAnsi="方正仿宋_GB2312" w:eastAsia="方正仿宋_GB2312" w:cs="方正仿宋_GB2312"/>
          <w:sz w:val="24"/>
          <w:szCs w:val="28"/>
          <w:lang w:val="en-US" w:eastAsia="zh-CN"/>
        </w:rPr>
      </w:pPr>
      <w:r>
        <w:rPr>
          <w:rFonts w:hint="eastAsia" w:ascii="方正仿宋_GB2312" w:hAnsi="方正仿宋_GB2312" w:eastAsia="方正仿宋_GB2312" w:cs="方正仿宋_GB2312"/>
          <w:sz w:val="24"/>
          <w:szCs w:val="28"/>
          <w:lang w:val="en-US" w:eastAsia="zh-CN"/>
        </w:rPr>
        <w:t>经过多年改革，格鲁吉亚法律和营商环境相对较好。根据2020年世界银行营商环境报告，格营商环境世界排名第7位。是WTO成员国，已与中国、欧盟、土耳其及独联体等国家和地区签署了自由贸易协定。</w:t>
      </w:r>
    </w:p>
    <w:p w14:paraId="0997F369">
      <w:pPr>
        <w:bidi w:val="0"/>
        <w:ind w:firstLine="480" w:firstLineChars="200"/>
        <w:rPr>
          <w:rFonts w:hint="eastAsia" w:ascii="方正仿宋_GB2312" w:hAnsi="方正仿宋_GB2312" w:eastAsia="方正仿宋_GB2312" w:cs="方正仿宋_GB2312"/>
          <w:sz w:val="24"/>
          <w:szCs w:val="28"/>
          <w:lang w:val="en-US" w:eastAsia="zh-CN"/>
        </w:rPr>
      </w:pPr>
      <w:r>
        <w:rPr>
          <w:rFonts w:hint="eastAsia" w:ascii="方正仿宋_GB2312" w:hAnsi="方正仿宋_GB2312" w:eastAsia="方正仿宋_GB2312" w:cs="方正仿宋_GB2312"/>
          <w:sz w:val="24"/>
          <w:szCs w:val="28"/>
          <w:lang w:val="en-US" w:eastAsia="zh-CN"/>
        </w:rPr>
        <w:t>中格建交以来，两国贸易额不断增长，中国是格鲁吉亚第四大贸易伙伴。近年来，中格两国经贸合作不断取得新进展。2015年，格申请成为中国倡导成立的亚洲基础设施投资银行创始成员国，并且是第一个在本国议会通过亚投行章程的国家。2018年1月1日，中格自贸协定正式生效实施。2025年11月4日，中国商务部与格经济和可持续发展部签署关于结束中格自贸协定升级谈判的备忘录。格是目前欧亚地区唯一与欧盟和中国均签署并实施自贸协定的国家，对推动中格两国投资和贸易合作发挥了重要的作用。</w:t>
      </w:r>
    </w:p>
    <w:p w14:paraId="65C03724">
      <w:pPr>
        <w:bidi w:val="0"/>
        <w:rPr>
          <w:rFonts w:hint="default" w:ascii="方正仿宋_GB2312" w:hAnsi="方正仿宋_GB2312" w:eastAsia="方正仿宋_GB2312" w:cs="方正仿宋_GB2312"/>
          <w:sz w:val="24"/>
          <w:szCs w:val="28"/>
          <w:lang w:val="en-US" w:eastAsia="zh-CN"/>
        </w:rPr>
      </w:pPr>
    </w:p>
    <w:p w14:paraId="4E3C12B8">
      <w:pPr>
        <w:bidi w:val="0"/>
        <w:rPr>
          <w:rFonts w:hint="default" w:ascii="方正仿宋_GB2312" w:hAnsi="方正仿宋_GB2312" w:eastAsia="方正仿宋_GB2312" w:cs="方正仿宋_GB2312"/>
          <w:sz w:val="24"/>
          <w:szCs w:val="28"/>
          <w:lang w:val="en-US" w:eastAsia="zh-CN"/>
        </w:rPr>
      </w:pPr>
    </w:p>
    <w:p w14:paraId="4B09D565">
      <w:pPr>
        <w:bidi w:val="0"/>
        <w:rPr>
          <w:rFonts w:hint="default" w:ascii="方正仿宋_GB2312" w:hAnsi="方正仿宋_GB2312" w:eastAsia="方正仿宋_GB2312" w:cs="方正仿宋_GB2312"/>
          <w:sz w:val="24"/>
          <w:szCs w:val="28"/>
          <w:lang w:val="en-US" w:eastAsia="zh-CN"/>
        </w:rPr>
      </w:pPr>
    </w:p>
    <w:p w14:paraId="5C7F4439">
      <w:pPr>
        <w:bidi w:val="0"/>
        <w:rPr>
          <w:rFonts w:hint="eastAsia" w:ascii="方正仿宋_GB2312" w:hAnsi="方正仿宋_GB2312" w:eastAsia="方正仿宋_GB2312" w:cs="方正仿宋_GB2312"/>
          <w:sz w:val="24"/>
          <w:szCs w:val="28"/>
          <w:lang w:val="en-US" w:eastAsia="zh-CN"/>
        </w:rPr>
      </w:pPr>
      <w:r>
        <w:rPr>
          <w:rFonts w:hint="eastAsia" w:ascii="方正仿宋_GB2312" w:hAnsi="方正仿宋_GB2312" w:eastAsia="方正仿宋_GB2312" w:cs="方正仿宋_GB2312"/>
          <w:b/>
          <w:bCs/>
          <w:sz w:val="24"/>
          <w:szCs w:val="28"/>
        </w:rPr>
        <w:t>参考</w:t>
      </w:r>
      <w:r>
        <w:rPr>
          <w:rFonts w:hint="eastAsia" w:ascii="方正仿宋_GB2312" w:hAnsi="方正仿宋_GB2312" w:eastAsia="方正仿宋_GB2312" w:cs="方正仿宋_GB2312"/>
          <w:b/>
          <w:bCs/>
          <w:sz w:val="24"/>
          <w:szCs w:val="28"/>
          <w:lang w:val="en-US" w:eastAsia="zh-CN"/>
        </w:rPr>
        <w:t>文件</w:t>
      </w:r>
    </w:p>
    <w:p w14:paraId="0AAE92CB">
      <w:pPr>
        <w:bidi w:val="0"/>
        <w:rPr>
          <w:rFonts w:hint="eastAsia" w:ascii="方正仿宋_GB2312" w:hAnsi="方正仿宋_GB2312" w:eastAsia="方正仿宋_GB2312" w:cs="方正仿宋_GB2312"/>
          <w:sz w:val="22"/>
          <w:szCs w:val="24"/>
          <w:lang w:val="en-US" w:eastAsia="zh-CN"/>
        </w:rPr>
      </w:pPr>
      <w:r>
        <w:rPr>
          <w:rFonts w:hint="eastAsia" w:ascii="方正仿宋_GB2312" w:hAnsi="方正仿宋_GB2312" w:eastAsia="方正仿宋_GB2312" w:cs="方正仿宋_GB2312"/>
          <w:sz w:val="22"/>
          <w:szCs w:val="24"/>
        </w:rPr>
        <w:t>商务部国际贸易经济合作研究院对外投资合作国别（地区）指南——</w:t>
      </w:r>
      <w:r>
        <w:rPr>
          <w:rFonts w:hint="eastAsia" w:ascii="方正仿宋_GB2312" w:hAnsi="方正仿宋_GB2312" w:eastAsia="方正仿宋_GB2312" w:cs="方正仿宋_GB2312"/>
          <w:sz w:val="22"/>
          <w:szCs w:val="24"/>
          <w:lang w:val="en-US" w:eastAsia="zh-CN"/>
        </w:rPr>
        <w:t>格鲁吉亚</w:t>
      </w:r>
    </w:p>
    <w:p w14:paraId="362A632D">
      <w:pPr>
        <w:bidi w:val="0"/>
        <w:rPr>
          <w:rFonts w:hint="eastAsia" w:ascii="方正仿宋_GB2312" w:hAnsi="方正仿宋_GB2312" w:eastAsia="方正仿宋_GB2312" w:cs="方正仿宋_GB2312"/>
          <w:sz w:val="22"/>
          <w:szCs w:val="24"/>
          <w:lang w:val="en-US" w:eastAsia="zh-CN"/>
        </w:rPr>
      </w:pPr>
      <w:r>
        <w:rPr>
          <w:rFonts w:hint="eastAsia" w:ascii="方正仿宋_GB2312" w:hAnsi="方正仿宋_GB2312" w:eastAsia="方正仿宋_GB2312" w:cs="方正仿宋_GB2312"/>
          <w:sz w:val="22"/>
          <w:szCs w:val="24"/>
          <w:lang w:val="en-US" w:eastAsia="zh-CN"/>
        </w:rPr>
        <w:t>格鲁吉亚资源情况简介——驻格鲁吉亚大使馆经济商务处</w:t>
      </w:r>
    </w:p>
    <w:p w14:paraId="3DF3BA30">
      <w:pPr>
        <w:spacing w:line="360" w:lineRule="auto"/>
        <w:rPr>
          <w:rFonts w:hint="eastAsia" w:ascii="方正仿宋_GB2312" w:hAnsi="方正仿宋_GB2312" w:eastAsia="方正仿宋_GB2312" w:cs="方正仿宋_GB2312"/>
          <w:sz w:val="22"/>
          <w:szCs w:val="24"/>
          <w:lang w:val="en-US" w:eastAsia="zh-CN"/>
        </w:rPr>
      </w:pPr>
      <w:r>
        <w:rPr>
          <w:rFonts w:hint="eastAsia" w:ascii="方正仿宋_GB2312" w:hAnsi="方正仿宋_GB2312" w:eastAsia="方正仿宋_GB2312" w:cs="方正仿宋_GB2312"/>
          <w:sz w:val="22"/>
          <w:szCs w:val="24"/>
          <w:lang w:val="en-US" w:eastAsia="zh-CN"/>
        </w:rPr>
        <w:t>USGS 《The Mineral Industry of Georgia》国别矿业年报</w:t>
      </w:r>
    </w:p>
    <w:p w14:paraId="18EA6D3B">
      <w:pPr>
        <w:spacing w:line="360" w:lineRule="auto"/>
        <w:rPr>
          <w:rFonts w:hint="eastAsia" w:ascii="方正仿宋_GB2312" w:hAnsi="方正仿宋_GB2312" w:eastAsia="方正仿宋_GB2312" w:cs="方正仿宋_GB2312"/>
          <w:sz w:val="22"/>
          <w:szCs w:val="24"/>
          <w:lang w:val="en-US" w:eastAsia="zh-CN"/>
        </w:rPr>
      </w:pPr>
    </w:p>
    <w:p w14:paraId="4C09E06E">
      <w:pPr>
        <w:spacing w:line="360" w:lineRule="auto"/>
        <w:rPr>
          <w:rFonts w:hint="eastAsia" w:ascii="方正仿宋_GB2312" w:hAnsi="方正仿宋_GB2312" w:eastAsia="方正仿宋_GB2312" w:cs="方正仿宋_GB2312"/>
          <w:sz w:val="22"/>
          <w:szCs w:val="24"/>
          <w:lang w:val="en-US" w:eastAsia="zh-CN"/>
        </w:rPr>
      </w:pPr>
    </w:p>
    <w:p w14:paraId="5ADBDB9E">
      <w:pPr>
        <w:spacing w:line="360" w:lineRule="auto"/>
        <w:rPr>
          <w:rFonts w:hint="eastAsia" w:ascii="方正仿宋_GB2312" w:hAnsi="方正仿宋_GB2312" w:eastAsia="方正仿宋_GB2312" w:cs="方正仿宋_GB2312"/>
          <w:sz w:val="22"/>
          <w:szCs w:val="24"/>
          <w:lang w:val="en-US" w:eastAsia="zh-CN"/>
        </w:rPr>
      </w:pPr>
    </w:p>
    <w:p w14:paraId="2A50D1C6">
      <w:pPr>
        <w:spacing w:line="360" w:lineRule="auto"/>
        <w:rPr>
          <w:rFonts w:hint="eastAsia" w:ascii="方正仿宋_GB2312" w:hAnsi="方正仿宋_GB2312" w:eastAsia="方正仿宋_GB2312" w:cs="方正仿宋_GB2312"/>
          <w:sz w:val="22"/>
          <w:szCs w:val="24"/>
          <w:lang w:val="en-US" w:eastAsia="zh-CN"/>
        </w:rPr>
      </w:pPr>
    </w:p>
    <w:p w14:paraId="07D37187">
      <w:pPr>
        <w:spacing w:line="360" w:lineRule="auto"/>
        <w:rPr>
          <w:rFonts w:hint="eastAsia" w:ascii="方正仿宋_GB2312" w:hAnsi="方正仿宋_GB2312" w:eastAsia="方正仿宋_GB2312" w:cs="方正仿宋_GB2312"/>
          <w:sz w:val="22"/>
          <w:szCs w:val="24"/>
          <w:lang w:val="en-US" w:eastAsia="zh-CN"/>
        </w:rPr>
      </w:pPr>
    </w:p>
    <w:p w14:paraId="2DAF4A94">
      <w:pPr>
        <w:spacing w:line="360" w:lineRule="auto"/>
        <w:rPr>
          <w:rFonts w:hint="eastAsia" w:ascii="方正仿宋_GB2312" w:hAnsi="方正仿宋_GB2312" w:eastAsia="方正仿宋_GB2312" w:cs="方正仿宋_GB2312"/>
          <w:sz w:val="22"/>
          <w:szCs w:val="24"/>
          <w:lang w:val="en-US" w:eastAsia="zh-CN"/>
        </w:rPr>
      </w:pPr>
    </w:p>
    <w:p w14:paraId="5F3B3E8E">
      <w:pPr>
        <w:spacing w:line="360" w:lineRule="auto"/>
        <w:rPr>
          <w:rFonts w:hint="default" w:ascii="方正仿宋_GB2312" w:hAnsi="方正仿宋_GB2312" w:eastAsia="方正仿宋_GB2312" w:cs="方正仿宋_GB2312"/>
          <w:sz w:val="22"/>
          <w:szCs w:val="24"/>
          <w:lang w:val="en-US" w:eastAsia="zh-CN"/>
        </w:rPr>
      </w:pPr>
      <w:r>
        <w:rPr>
          <w:rFonts w:hint="eastAsia" w:ascii="仿宋" w:hAnsi="仿宋" w:eastAsia="仿宋" w:cs="仿宋"/>
          <w:b/>
          <w:bCs/>
          <w:sz w:val="24"/>
          <w:szCs w:val="24"/>
        </w:rPr>
        <mc:AlternateContent>
          <mc:Choice Requires="wps">
            <w:drawing>
              <wp:anchor distT="0" distB="0" distL="114300" distR="114300" simplePos="0" relativeHeight="251659264" behindDoc="0" locked="0" layoutInCell="1" allowOverlap="1">
                <wp:simplePos x="0" y="0"/>
                <wp:positionH relativeFrom="page">
                  <wp:posOffset>96520</wp:posOffset>
                </wp:positionH>
                <wp:positionV relativeFrom="paragraph">
                  <wp:posOffset>185420</wp:posOffset>
                </wp:positionV>
                <wp:extent cx="7366635" cy="1943100"/>
                <wp:effectExtent l="6350" t="6350" r="18415" b="16510"/>
                <wp:wrapNone/>
                <wp:docPr id="1" name="Rectangle 58"/>
                <wp:cNvGraphicFramePr/>
                <a:graphic xmlns:a="http://schemas.openxmlformats.org/drawingml/2006/main">
                  <a:graphicData uri="http://schemas.microsoft.com/office/word/2010/wordprocessingShape">
                    <wps:wsp>
                      <wps:cNvSpPr>
                        <a:spLocks noChangeArrowheads="1"/>
                      </wps:cNvSpPr>
                      <wps:spPr bwMode="auto">
                        <a:xfrm>
                          <a:off x="0" y="0"/>
                          <a:ext cx="7366635" cy="1943100"/>
                        </a:xfrm>
                        <a:prstGeom prst="rect">
                          <a:avLst/>
                        </a:prstGeom>
                        <a:solidFill>
                          <a:srgbClr val="FFFFFF"/>
                        </a:solidFill>
                        <a:ln w="12700" cap="rnd">
                          <a:solidFill>
                            <a:srgbClr val="000000"/>
                          </a:solidFill>
                          <a:prstDash val="sysDot"/>
                          <a:miter lim="800000"/>
                        </a:ln>
                        <a:effectLst/>
                      </wps:spPr>
                      <wps:txbx>
                        <w:txbxContent>
                          <w:p w14:paraId="78D15BAC">
                            <w:pPr>
                              <w:keepNext w:val="0"/>
                              <w:keepLines w:val="0"/>
                              <w:pageBreakBefore w:val="0"/>
                              <w:widowControl w:val="0"/>
                              <w:kinsoku/>
                              <w:wordWrap/>
                              <w:overflowPunct/>
                              <w:topLinePunct w:val="0"/>
                              <w:bidi w:val="0"/>
                              <w:adjustRightInd/>
                              <w:snapToGrid/>
                              <w:spacing w:line="360" w:lineRule="auto"/>
                              <w:textAlignment w:val="auto"/>
                              <w:rPr>
                                <w:sz w:val="15"/>
                                <w:szCs w:val="15"/>
                              </w:rPr>
                            </w:pPr>
                            <w:r>
                              <w:rPr>
                                <w:rFonts w:hint="eastAsia"/>
                                <w:sz w:val="15"/>
                                <w:szCs w:val="15"/>
                              </w:rPr>
                              <w:t>免责声明：</w:t>
                            </w:r>
                          </w:p>
                          <w:p w14:paraId="72374F90">
                            <w:pPr>
                              <w:keepNext w:val="0"/>
                              <w:keepLines w:val="0"/>
                              <w:pageBreakBefore w:val="0"/>
                              <w:widowControl w:val="0"/>
                              <w:kinsoku/>
                              <w:wordWrap/>
                              <w:overflowPunct/>
                              <w:topLinePunct w:val="0"/>
                              <w:bidi w:val="0"/>
                              <w:adjustRightInd/>
                              <w:snapToGrid/>
                              <w:spacing w:line="360" w:lineRule="auto"/>
                              <w:textAlignment w:val="auto"/>
                              <w:rPr>
                                <w:rFonts w:hint="eastAsia" w:asciiTheme="minorHAnsi" w:hAnsiTheme="minorHAnsi" w:eastAsiaTheme="minorEastAsia" w:cstheme="minorBidi"/>
                                <w:kern w:val="2"/>
                                <w:sz w:val="15"/>
                                <w:szCs w:val="15"/>
                                <w:lang w:val="en-US" w:eastAsia="zh-CN" w:bidi="ar-SA"/>
                              </w:rPr>
                            </w:pPr>
                            <w:r>
                              <w:rPr>
                                <w:rFonts w:hint="eastAsia" w:asciiTheme="minorHAnsi" w:hAnsiTheme="minorHAnsi" w:eastAsiaTheme="minorEastAsia" w:cstheme="minorBidi"/>
                                <w:kern w:val="2"/>
                                <w:sz w:val="15"/>
                                <w:szCs w:val="15"/>
                                <w:lang w:val="en-US" w:eastAsia="zh-CN" w:bidi="ar-SA"/>
                              </w:rPr>
                              <w:t>本报告是基于上海联合矿权交易所认为可靠的已公开信息编制，但上海联合矿权交易所不保证所载信息的准确性和完整性。本报告所载的意见、评估及预测仅为本报告最初出具日的观点和判断，在任何情况下，本报告中的信息或所表述的意见并不构成对任何人的投资建议。本报告所载的资料、工具、意见及推测仅供参考，并非作为或被视为出售或购买证券或其他投资标的的邀请或向人做出邀请。</w:t>
                            </w:r>
                          </w:p>
                          <w:p w14:paraId="2B01F60F">
                            <w:pPr>
                              <w:keepNext w:val="0"/>
                              <w:keepLines w:val="0"/>
                              <w:pageBreakBefore w:val="0"/>
                              <w:widowControl w:val="0"/>
                              <w:kinsoku/>
                              <w:wordWrap/>
                              <w:overflowPunct/>
                              <w:topLinePunct w:val="0"/>
                              <w:bidi w:val="0"/>
                              <w:adjustRightInd/>
                              <w:snapToGrid/>
                              <w:spacing w:line="360" w:lineRule="auto"/>
                              <w:textAlignment w:val="auto"/>
                              <w:rPr>
                                <w:rFonts w:hint="eastAsia" w:asciiTheme="minorHAnsi" w:hAnsiTheme="minorHAnsi" w:eastAsiaTheme="minorEastAsia" w:cstheme="minorBidi"/>
                                <w:kern w:val="2"/>
                                <w:sz w:val="15"/>
                                <w:szCs w:val="15"/>
                                <w:lang w:val="en-US" w:eastAsia="zh-CN" w:bidi="ar-SA"/>
                              </w:rPr>
                            </w:pPr>
                            <w:r>
                              <w:rPr>
                                <w:rFonts w:hint="eastAsia" w:asciiTheme="minorHAnsi" w:hAnsiTheme="minorHAnsi" w:eastAsiaTheme="minorEastAsia" w:cstheme="minorBidi"/>
                                <w:kern w:val="2"/>
                                <w:sz w:val="15"/>
                                <w:szCs w:val="15"/>
                                <w:lang w:val="en-US" w:eastAsia="zh-CN" w:bidi="ar-SA"/>
                              </w:rPr>
                              <w:t>本报告版权仅为上海联合矿权交易所所有。未经上海联合矿权交易所书面同意，任何机构和个人不得以任何形式翻版、复制、发布、转发或引用本报告的任何部分。若上海联合矿权交易所以外的机构向其客户发放本报告，则由该机构独自为此发送行为负责，上海联合矿权交易所对此等行为不承担任何责任。</w:t>
                            </w:r>
                          </w:p>
                          <w:p w14:paraId="4094C4C9">
                            <w:pPr>
                              <w:keepNext w:val="0"/>
                              <w:keepLines w:val="0"/>
                              <w:pageBreakBefore w:val="0"/>
                              <w:widowControl w:val="0"/>
                              <w:kinsoku/>
                              <w:wordWrap/>
                              <w:overflowPunct/>
                              <w:topLinePunct w:val="0"/>
                              <w:bidi w:val="0"/>
                              <w:adjustRightInd/>
                              <w:snapToGrid/>
                              <w:spacing w:line="360" w:lineRule="auto"/>
                              <w:textAlignment w:val="auto"/>
                              <w:rPr>
                                <w:rFonts w:hint="eastAsia" w:asciiTheme="minorHAnsi" w:hAnsiTheme="minorHAnsi" w:eastAsiaTheme="minorEastAsia" w:cstheme="minorBidi"/>
                                <w:kern w:val="2"/>
                                <w:sz w:val="15"/>
                                <w:szCs w:val="15"/>
                                <w:lang w:val="en-US" w:eastAsia="zh-CN" w:bidi="ar-SA"/>
                              </w:rPr>
                            </w:pPr>
                            <w:r>
                              <w:rPr>
                                <w:rFonts w:hint="eastAsia" w:asciiTheme="minorHAnsi" w:hAnsiTheme="minorHAnsi" w:eastAsiaTheme="minorEastAsia" w:cstheme="minorBidi"/>
                                <w:kern w:val="2"/>
                                <w:sz w:val="15"/>
                                <w:szCs w:val="15"/>
                                <w:lang w:val="en-US" w:eastAsia="zh-CN" w:bidi="ar-SA"/>
                              </w:rPr>
                              <w:t>如未经上海联合矿权交易所授权，私自转载或者转发本报告，所引起的一切后果及法律责任由私自转载或转发者承担。上海联合矿权交易所将保留随时追究其法律责任的权利。</w:t>
                            </w:r>
                          </w:p>
                          <w:p w14:paraId="6F12EA57">
                            <w:pPr>
                              <w:rPr>
                                <w:sz w:val="15"/>
                                <w:szCs w:val="15"/>
                              </w:rPr>
                            </w:pPr>
                          </w:p>
                        </w:txbxContent>
                      </wps:txbx>
                      <wps:bodyPr rot="0" vert="horz" wrap="square" lIns="91440" tIns="45720" rIns="91440" bIns="45720" anchor="t" anchorCtr="0" upright="1">
                        <a:noAutofit/>
                      </wps:bodyPr>
                    </wps:wsp>
                  </a:graphicData>
                </a:graphic>
              </wp:anchor>
            </w:drawing>
          </mc:Choice>
          <mc:Fallback>
            <w:pict>
              <v:rect id="Rectangle 58" o:spid="_x0000_s1026" o:spt="1" style="position:absolute;left:0pt;margin-left:7.6pt;margin-top:14.6pt;height:153pt;width:580.05pt;mso-position-horizontal-relative:page;z-index:251659264;mso-width-relative:page;mso-height-relative:page;" fillcolor="#FFFFFF" filled="t" stroked="t" coordsize="21600,21600" o:gfxdata="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MamR/dYAAAAJAQAADwAAAAAAAAAB&#10;ACAAAAAiAAAAZHJzL2Rvd25yZXYueG1sUEsBAhQAFAAAAAgAh07iQPXyhnFLAgAAsgQAAA4AAAAA&#10;AAAAAQAgAAAAJQEAAGRycy9lMm9Eb2MueG1sUEsFBgAAAAAGAAYAWQEAAOIFAAAAAA==&#10;">
                <v:fill on="t" focussize="0,0"/>
                <v:stroke weight="1pt" color="#000000" miterlimit="8" joinstyle="miter" dashstyle="1 1" endcap="round"/>
                <v:imagedata o:title=""/>
                <o:lock v:ext="edit" aspectratio="f"/>
                <v:textbox>
                  <w:txbxContent>
                    <w:p w14:paraId="78D15BAC">
                      <w:pPr>
                        <w:keepNext w:val="0"/>
                        <w:keepLines w:val="0"/>
                        <w:pageBreakBefore w:val="0"/>
                        <w:widowControl w:val="0"/>
                        <w:kinsoku/>
                        <w:wordWrap/>
                        <w:overflowPunct/>
                        <w:topLinePunct w:val="0"/>
                        <w:bidi w:val="0"/>
                        <w:adjustRightInd/>
                        <w:snapToGrid/>
                        <w:spacing w:line="360" w:lineRule="auto"/>
                        <w:textAlignment w:val="auto"/>
                        <w:rPr>
                          <w:sz w:val="15"/>
                          <w:szCs w:val="15"/>
                        </w:rPr>
                      </w:pPr>
                      <w:r>
                        <w:rPr>
                          <w:rFonts w:hint="eastAsia"/>
                          <w:sz w:val="15"/>
                          <w:szCs w:val="15"/>
                        </w:rPr>
                        <w:t>免责声明：</w:t>
                      </w:r>
                    </w:p>
                    <w:p w14:paraId="72374F90">
                      <w:pPr>
                        <w:keepNext w:val="0"/>
                        <w:keepLines w:val="0"/>
                        <w:pageBreakBefore w:val="0"/>
                        <w:widowControl w:val="0"/>
                        <w:kinsoku/>
                        <w:wordWrap/>
                        <w:overflowPunct/>
                        <w:topLinePunct w:val="0"/>
                        <w:bidi w:val="0"/>
                        <w:adjustRightInd/>
                        <w:snapToGrid/>
                        <w:spacing w:line="360" w:lineRule="auto"/>
                        <w:textAlignment w:val="auto"/>
                        <w:rPr>
                          <w:rFonts w:hint="eastAsia" w:asciiTheme="minorHAnsi" w:hAnsiTheme="minorHAnsi" w:eastAsiaTheme="minorEastAsia" w:cstheme="minorBidi"/>
                          <w:kern w:val="2"/>
                          <w:sz w:val="15"/>
                          <w:szCs w:val="15"/>
                          <w:lang w:val="en-US" w:eastAsia="zh-CN" w:bidi="ar-SA"/>
                        </w:rPr>
                      </w:pPr>
                      <w:r>
                        <w:rPr>
                          <w:rFonts w:hint="eastAsia" w:asciiTheme="minorHAnsi" w:hAnsiTheme="minorHAnsi" w:eastAsiaTheme="minorEastAsia" w:cstheme="minorBidi"/>
                          <w:kern w:val="2"/>
                          <w:sz w:val="15"/>
                          <w:szCs w:val="15"/>
                          <w:lang w:val="en-US" w:eastAsia="zh-CN" w:bidi="ar-SA"/>
                        </w:rPr>
                        <w:t>本报告是基于上海联合矿权交易所认为可靠的已公开信息编制，但上海联合矿权交易所不保证所载信息的准确性和完整性。本报告所载的意见、评估及预测仅为本报告最初出具日的观点和判断，在任何情况下，本报告中的信息或所表述的意见并不构成对任何人的投资建议。本报告所载的资料、工具、意见及推测仅供参考，并非作为或被视为出售或购买证券或其他投资标的的邀请或向人做出邀请。</w:t>
                      </w:r>
                    </w:p>
                    <w:p w14:paraId="2B01F60F">
                      <w:pPr>
                        <w:keepNext w:val="0"/>
                        <w:keepLines w:val="0"/>
                        <w:pageBreakBefore w:val="0"/>
                        <w:widowControl w:val="0"/>
                        <w:kinsoku/>
                        <w:wordWrap/>
                        <w:overflowPunct/>
                        <w:topLinePunct w:val="0"/>
                        <w:bidi w:val="0"/>
                        <w:adjustRightInd/>
                        <w:snapToGrid/>
                        <w:spacing w:line="360" w:lineRule="auto"/>
                        <w:textAlignment w:val="auto"/>
                        <w:rPr>
                          <w:rFonts w:hint="eastAsia" w:asciiTheme="minorHAnsi" w:hAnsiTheme="minorHAnsi" w:eastAsiaTheme="minorEastAsia" w:cstheme="minorBidi"/>
                          <w:kern w:val="2"/>
                          <w:sz w:val="15"/>
                          <w:szCs w:val="15"/>
                          <w:lang w:val="en-US" w:eastAsia="zh-CN" w:bidi="ar-SA"/>
                        </w:rPr>
                      </w:pPr>
                      <w:r>
                        <w:rPr>
                          <w:rFonts w:hint="eastAsia" w:asciiTheme="minorHAnsi" w:hAnsiTheme="minorHAnsi" w:eastAsiaTheme="minorEastAsia" w:cstheme="minorBidi"/>
                          <w:kern w:val="2"/>
                          <w:sz w:val="15"/>
                          <w:szCs w:val="15"/>
                          <w:lang w:val="en-US" w:eastAsia="zh-CN" w:bidi="ar-SA"/>
                        </w:rPr>
                        <w:t>本报告版权仅为上海联合矿权交易所所有。未经上海联合矿权交易所书面同意，任何机构和个人不得以任何形式翻版、复制、发布、转发或引用本报告的任何部分。若上海联合矿权交易所以外的机构向其客户发放本报告，则由该机构独自为此发送行为负责，上海联合矿权交易所对此等行为不承担任何责任。</w:t>
                      </w:r>
                    </w:p>
                    <w:p w14:paraId="4094C4C9">
                      <w:pPr>
                        <w:keepNext w:val="0"/>
                        <w:keepLines w:val="0"/>
                        <w:pageBreakBefore w:val="0"/>
                        <w:widowControl w:val="0"/>
                        <w:kinsoku/>
                        <w:wordWrap/>
                        <w:overflowPunct/>
                        <w:topLinePunct w:val="0"/>
                        <w:bidi w:val="0"/>
                        <w:adjustRightInd/>
                        <w:snapToGrid/>
                        <w:spacing w:line="360" w:lineRule="auto"/>
                        <w:textAlignment w:val="auto"/>
                        <w:rPr>
                          <w:rFonts w:hint="eastAsia" w:asciiTheme="minorHAnsi" w:hAnsiTheme="minorHAnsi" w:eastAsiaTheme="minorEastAsia" w:cstheme="minorBidi"/>
                          <w:kern w:val="2"/>
                          <w:sz w:val="15"/>
                          <w:szCs w:val="15"/>
                          <w:lang w:val="en-US" w:eastAsia="zh-CN" w:bidi="ar-SA"/>
                        </w:rPr>
                      </w:pPr>
                      <w:r>
                        <w:rPr>
                          <w:rFonts w:hint="eastAsia" w:asciiTheme="minorHAnsi" w:hAnsiTheme="minorHAnsi" w:eastAsiaTheme="minorEastAsia" w:cstheme="minorBidi"/>
                          <w:kern w:val="2"/>
                          <w:sz w:val="15"/>
                          <w:szCs w:val="15"/>
                          <w:lang w:val="en-US" w:eastAsia="zh-CN" w:bidi="ar-SA"/>
                        </w:rPr>
                        <w:t>如未经上海联合矿权交易所授权，私自转载或者转发本报告，所引起的一切后果及法律责任由私自转载或转发者承担。上海联合矿权交易所将保留随时追究其法律责任的权利。</w:t>
                      </w:r>
                    </w:p>
                    <w:p w14:paraId="6F12EA57">
                      <w:pPr>
                        <w:rPr>
                          <w:sz w:val="15"/>
                          <w:szCs w:val="15"/>
                        </w:rPr>
                      </w:pPr>
                    </w:p>
                  </w:txbxContent>
                </v:textbox>
              </v:rect>
            </w:pict>
          </mc:Fallback>
        </mc:AlternateContent>
      </w:r>
    </w:p>
    <w:sectPr>
      <w:headerReference r:id="rId3" w:type="default"/>
      <w:footerReference r:id="rId4"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embedRegular r:id="rId1" w:fontKey="{F22FC4BE-0EFF-F28F-F357-606A8DCA90E7}"/>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等线">
    <w:altName w:val="汉仪中等线KW"/>
    <w:panose1 w:val="02010600030101010101"/>
    <w:charset w:val="86"/>
    <w:family w:val="auto"/>
    <w:pitch w:val="default"/>
    <w:sig w:usb0="00000000" w:usb1="00000000" w:usb2="00000016" w:usb3="00000000" w:csb0="0004000F" w:csb1="00000000"/>
  </w:font>
  <w:font w:name="方正仿宋_GB2312">
    <w:panose1 w:val="02000000000000000000"/>
    <w:charset w:val="86"/>
    <w:family w:val="auto"/>
    <w:pitch w:val="default"/>
    <w:sig w:usb0="A00002BF" w:usb1="184F6CFA" w:usb2="00000012" w:usb3="00000000" w:csb0="00040001" w:csb1="00000000"/>
    <w:embedRegular r:id="rId2" w:fontKey="{033E8E98-ACE6-F9A6-F357-606AA207BC5B}"/>
  </w:font>
  <w:font w:name="仿宋">
    <w:altName w:val="仿宋-简"/>
    <w:panose1 w:val="02010609060101010101"/>
    <w:charset w:val="86"/>
    <w:family w:val="auto"/>
    <w:pitch w:val="default"/>
    <w:sig w:usb0="00000000" w:usb1="00000000" w:usb2="00000016" w:usb3="00000000" w:csb0="00040001" w:csb1="00000000"/>
  </w:font>
  <w:font w:name="汉仪书宋二KW">
    <w:panose1 w:val="00020600040101010101"/>
    <w:charset w:val="86"/>
    <w:family w:val="auto"/>
    <w:pitch w:val="default"/>
    <w:sig w:usb0="A00002BF" w:usb1="18EF7CFA" w:usb2="00000016" w:usb3="00000000" w:csb0="00040000" w:csb1="00000000"/>
  </w:font>
  <w:font w:name="汉仪中黑KW">
    <w:panose1 w:val="00020600040101010101"/>
    <w:charset w:val="86"/>
    <w:family w:val="auto"/>
    <w:pitch w:val="default"/>
    <w:sig w:usb0="A00002BF" w:usb1="18EF7CFA" w:usb2="00000016" w:usb3="00000000" w:csb0="00040000" w:csb1="00000000"/>
  </w:font>
  <w:font w:name="等线">
    <w:altName w:val="汉仪中等线KW"/>
    <w:panose1 w:val="00000000000000000000"/>
    <w:charset w:val="00"/>
    <w:family w:val="auto"/>
    <w:pitch w:val="default"/>
    <w:sig w:usb0="00000000" w:usb1="00000000" w:usb2="00000000" w:usb3="00000000" w:csb0="00000000" w:csb1="00000000"/>
  </w:font>
  <w:font w:name="汉仪中等线KW">
    <w:panose1 w:val="01010104010101010101"/>
    <w:charset w:val="86"/>
    <w:family w:val="auto"/>
    <w:pitch w:val="default"/>
    <w:sig w:usb0="800002BF" w:usb1="004F7CFA" w:usb2="00000000" w:usb3="00000000" w:csb0="00040001" w:csb1="00000000"/>
  </w:font>
  <w:font w:name="宋体-简">
    <w:panose1 w:val="02010800040101010101"/>
    <w:charset w:val="86"/>
    <w:family w:val="auto"/>
    <w:pitch w:val="default"/>
    <w:sig w:usb0="00000001" w:usb1="080F0000" w:usb2="00000000" w:usb3="00000000" w:csb0="00040000" w:csb1="00000000"/>
  </w:font>
  <w:font w:name="仿宋-简">
    <w:panose1 w:val="02010609060101010101"/>
    <w:charset w:val="86"/>
    <w:family w:val="auto"/>
    <w:pitch w:val="default"/>
    <w:sig w:usb0="A00002BF" w:usb1="3ACF7CFA" w:usb2="00000016" w:usb3="00000000" w:csb0="00040001" w:csb1="00000000"/>
  </w:font>
  <w:font w:name="Kingsoft Sign">
    <w:panose1 w:val="05050102010706020507"/>
    <w:charset w:val="00"/>
    <w:family w:val="auto"/>
    <w:pitch w:val="default"/>
    <w:sig w:usb0="00000000" w:usb1="10000000" w:usb2="00000000" w:usb3="00000000" w:csb0="00000001" w:csb1="00000000"/>
  </w:font>
  <w:font w:name="Helvetica Neue">
    <w:panose1 w:val="02000503000000020004"/>
    <w:charset w:val="00"/>
    <w:family w:val="auto"/>
    <w:pitch w:val="default"/>
    <w:sig w:usb0="E50002FF" w:usb1="500079DB" w:usb2="00000010" w:usb3="00000000" w:csb0="00000000" w:csb1="00000000"/>
  </w:font>
  <w:font w:name="儷宋 Pro">
    <w:panose1 w:val="02020300000000000000"/>
    <w:charset w:val="88"/>
    <w:family w:val="auto"/>
    <w:pitch w:val="default"/>
    <w:sig w:usb0="80000001" w:usb1="28091800" w:usb2="00000016"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842803380"/>
      <w:docPartObj>
        <w:docPartGallery w:val="autotext"/>
      </w:docPartObj>
    </w:sdtPr>
    <w:sdtContent>
      <w:sdt>
        <w:sdtPr>
          <w:id w:val="1728636285"/>
          <w:docPartObj>
            <w:docPartGallery w:val="autotext"/>
          </w:docPartObj>
        </w:sdtPr>
        <w:sdtContent>
          <w:p w14:paraId="21169596">
            <w:pPr>
              <w:pStyle w:val="5"/>
              <w:jc w:val="center"/>
            </w:pPr>
            <w:r>
              <w:rPr>
                <w:b/>
                <w:bCs/>
                <w:sz w:val="24"/>
                <w:szCs w:val="24"/>
              </w:rPr>
              <w:fldChar w:fldCharType="begin"/>
            </w:r>
            <w:r>
              <w:rPr>
                <w:b/>
                <w:bCs/>
              </w:rPr>
              <w:instrText xml:space="preserve">PAGE</w:instrText>
            </w:r>
            <w:r>
              <w:rPr>
                <w:b/>
                <w:bCs/>
                <w:sz w:val="24"/>
                <w:szCs w:val="24"/>
              </w:rPr>
              <w:fldChar w:fldCharType="separate"/>
            </w:r>
            <w:r>
              <w:rPr>
                <w:b/>
                <w:bCs/>
                <w:lang w:val="zh-CN"/>
              </w:rPr>
              <w:t>2</w:t>
            </w:r>
            <w:r>
              <w:rPr>
                <w:b/>
                <w:bCs/>
                <w:sz w:val="24"/>
                <w:szCs w:val="24"/>
              </w:rPr>
              <w:fldChar w:fldCharType="end"/>
            </w:r>
            <w:r>
              <w:rPr>
                <w:lang w:val="zh-CN"/>
              </w:rPr>
              <w:t>/</w:t>
            </w:r>
            <w:r>
              <w:rPr>
                <w:b/>
                <w:bCs/>
                <w:sz w:val="24"/>
                <w:szCs w:val="24"/>
              </w:rPr>
              <w:fldChar w:fldCharType="begin"/>
            </w:r>
            <w:r>
              <w:rPr>
                <w:b/>
                <w:bCs/>
              </w:rPr>
              <w:instrText xml:space="preserve">NUMPAGES</w:instrText>
            </w:r>
            <w:r>
              <w:rPr>
                <w:b/>
                <w:bCs/>
                <w:sz w:val="24"/>
                <w:szCs w:val="24"/>
              </w:rPr>
              <w:fldChar w:fldCharType="separate"/>
            </w:r>
            <w:r>
              <w:rPr>
                <w:b/>
                <w:bCs/>
                <w:lang w:val="zh-CN"/>
              </w:rPr>
              <w:t>2</w:t>
            </w:r>
            <w:r>
              <w:rPr>
                <w:b/>
                <w:bCs/>
                <w:sz w:val="24"/>
                <w:szCs w:val="24"/>
              </w:rPr>
              <w:fldChar w:fldCharType="end"/>
            </w:r>
          </w:p>
        </w:sdtContent>
      </w:sdt>
    </w:sdtContent>
  </w:sdt>
  <w:p w14:paraId="49BAD948">
    <w:pPr>
      <w:pStyle w:val="5"/>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E3213D">
    <w:pPr>
      <w:pStyle w:val="6"/>
      <w:rPr>
        <w:rFonts w:hint="default"/>
        <w:lang w:val="en-US" w:eastAsia="zh-CN"/>
      </w:rPr>
    </w:pPr>
    <w:r>
      <w:rPr>
        <w:rFonts w:hint="eastAsia"/>
      </w:rPr>
      <w:t>专题报告一带一路</w:t>
    </w:r>
    <w:r>
      <w:rPr>
        <w:rFonts w:hint="eastAsia"/>
        <w:lang w:val="en-US" w:eastAsia="zh-CN"/>
      </w:rPr>
      <w:t>专栏202607</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74F9F8D"/>
    <w:multiLevelType w:val="singleLevel"/>
    <w:tmpl w:val="A74F9F8D"/>
    <w:lvl w:ilvl="0" w:tentative="0">
      <w:start w:val="4"/>
      <w:numFmt w:val="chineseCounting"/>
      <w:suff w:val="space"/>
      <w:lvlText w:val="%1、"/>
      <w:lvlJc w:val="left"/>
      <w:rPr>
        <w:rFonts w:hint="eastAsia"/>
      </w:rPr>
    </w:lvl>
  </w:abstractNum>
  <w:abstractNum w:abstractNumId="1">
    <w:nsid w:val="F2A9D5FD"/>
    <w:multiLevelType w:val="singleLevel"/>
    <w:tmpl w:val="F2A9D5FD"/>
    <w:lvl w:ilvl="0" w:tentative="0">
      <w:start w:val="3"/>
      <w:numFmt w:val="chineseCounting"/>
      <w:suff w:val="nothing"/>
      <w:lvlText w:val="%1、"/>
      <w:lvlJc w:val="left"/>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jBiNTI2NGE5Zjc2YjU3YmQ4NWRlY2U5MGJjMzk2YzIifQ=="/>
  </w:docVars>
  <w:rsids>
    <w:rsidRoot w:val="006302C0"/>
    <w:rsid w:val="000310EA"/>
    <w:rsid w:val="0022464A"/>
    <w:rsid w:val="003D4758"/>
    <w:rsid w:val="004D6AF9"/>
    <w:rsid w:val="006302C0"/>
    <w:rsid w:val="0064243E"/>
    <w:rsid w:val="00724552"/>
    <w:rsid w:val="00764153"/>
    <w:rsid w:val="008C6AD2"/>
    <w:rsid w:val="00A56B94"/>
    <w:rsid w:val="00BA6997"/>
    <w:rsid w:val="00D41F1D"/>
    <w:rsid w:val="00E237A0"/>
    <w:rsid w:val="00E93911"/>
    <w:rsid w:val="00ED1572"/>
    <w:rsid w:val="00EF02BB"/>
    <w:rsid w:val="0316724E"/>
    <w:rsid w:val="07D23B28"/>
    <w:rsid w:val="08706D23"/>
    <w:rsid w:val="0B0B35D9"/>
    <w:rsid w:val="0CF54541"/>
    <w:rsid w:val="0F272DE9"/>
    <w:rsid w:val="0F8530BA"/>
    <w:rsid w:val="12CD0866"/>
    <w:rsid w:val="149C7709"/>
    <w:rsid w:val="15CA5BB0"/>
    <w:rsid w:val="16D231FD"/>
    <w:rsid w:val="18AC4201"/>
    <w:rsid w:val="1CAF36DE"/>
    <w:rsid w:val="1CD35F20"/>
    <w:rsid w:val="21DC7625"/>
    <w:rsid w:val="249108E2"/>
    <w:rsid w:val="25EC3BAF"/>
    <w:rsid w:val="26AB5818"/>
    <w:rsid w:val="27277595"/>
    <w:rsid w:val="28212236"/>
    <w:rsid w:val="2A1E2BDC"/>
    <w:rsid w:val="2CEB65DE"/>
    <w:rsid w:val="2F045667"/>
    <w:rsid w:val="2FAD791A"/>
    <w:rsid w:val="304578AF"/>
    <w:rsid w:val="323B3EF4"/>
    <w:rsid w:val="36457784"/>
    <w:rsid w:val="379A2136"/>
    <w:rsid w:val="37BB472F"/>
    <w:rsid w:val="3CA04D6F"/>
    <w:rsid w:val="3CD44D87"/>
    <w:rsid w:val="3F5263D7"/>
    <w:rsid w:val="42344AE4"/>
    <w:rsid w:val="446E33BB"/>
    <w:rsid w:val="44931039"/>
    <w:rsid w:val="45886168"/>
    <w:rsid w:val="473F0882"/>
    <w:rsid w:val="47BFB555"/>
    <w:rsid w:val="48CA2198"/>
    <w:rsid w:val="496D09DF"/>
    <w:rsid w:val="4CB86D02"/>
    <w:rsid w:val="4F297952"/>
    <w:rsid w:val="4F705E17"/>
    <w:rsid w:val="50025BF9"/>
    <w:rsid w:val="5085218C"/>
    <w:rsid w:val="50AC5BC5"/>
    <w:rsid w:val="51EA62A9"/>
    <w:rsid w:val="524A20C9"/>
    <w:rsid w:val="52552958"/>
    <w:rsid w:val="52813EDC"/>
    <w:rsid w:val="532742F5"/>
    <w:rsid w:val="559D43FA"/>
    <w:rsid w:val="55B13522"/>
    <w:rsid w:val="59162E41"/>
    <w:rsid w:val="5C8512CA"/>
    <w:rsid w:val="61EA3C09"/>
    <w:rsid w:val="65275A79"/>
    <w:rsid w:val="663314D9"/>
    <w:rsid w:val="66FC3F4F"/>
    <w:rsid w:val="67254250"/>
    <w:rsid w:val="684F0059"/>
    <w:rsid w:val="68680777"/>
    <w:rsid w:val="6BBE2FA1"/>
    <w:rsid w:val="6CBF4BAE"/>
    <w:rsid w:val="6EF676DC"/>
    <w:rsid w:val="6F773F3A"/>
    <w:rsid w:val="6F9B72FB"/>
    <w:rsid w:val="70CF61DE"/>
    <w:rsid w:val="72572384"/>
    <w:rsid w:val="730B6E03"/>
    <w:rsid w:val="731051FF"/>
    <w:rsid w:val="742539BE"/>
    <w:rsid w:val="74DE53BF"/>
    <w:rsid w:val="75D07DAF"/>
    <w:rsid w:val="76062557"/>
    <w:rsid w:val="77F74E7C"/>
    <w:rsid w:val="78A07EB3"/>
    <w:rsid w:val="79273652"/>
    <w:rsid w:val="7A2472DE"/>
    <w:rsid w:val="7C2C67C8"/>
    <w:rsid w:val="7CCB71F0"/>
    <w:rsid w:val="7D717D97"/>
    <w:rsid w:val="7EE822DB"/>
    <w:rsid w:val="F3DDD0ED"/>
    <w:rsid w:val="F73ED1C9"/>
    <w:rsid w:val="FF4F068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link w:val="13"/>
    <w:autoRedefine/>
    <w:qFormat/>
    <w:uiPriority w:val="9"/>
    <w:pPr>
      <w:widowControl/>
      <w:spacing w:before="100" w:beforeAutospacing="1" w:after="100" w:afterAutospacing="1"/>
      <w:jc w:val="left"/>
      <w:outlineLvl w:val="0"/>
    </w:pPr>
    <w:rPr>
      <w:rFonts w:ascii="宋体" w:hAnsi="宋体" w:eastAsia="宋体" w:cs="宋体"/>
      <w:b/>
      <w:bCs/>
      <w:kern w:val="36"/>
      <w:sz w:val="48"/>
      <w:szCs w:val="48"/>
    </w:rPr>
  </w:style>
  <w:style w:type="paragraph" w:styleId="3">
    <w:name w:val="heading 2"/>
    <w:basedOn w:val="1"/>
    <w:next w:val="1"/>
    <w:semiHidden/>
    <w:unhideWhenUsed/>
    <w:qFormat/>
    <w:uiPriority w:val="9"/>
    <w:pPr>
      <w:spacing w:before="0" w:beforeAutospacing="1" w:after="0" w:afterAutospacing="1"/>
      <w:jc w:val="left"/>
    </w:pPr>
    <w:rPr>
      <w:rFonts w:hint="eastAsia" w:ascii="宋体" w:hAnsi="宋体" w:eastAsia="宋体" w:cs="宋体"/>
      <w:b/>
      <w:bCs/>
      <w:kern w:val="0"/>
      <w:sz w:val="36"/>
      <w:szCs w:val="36"/>
      <w:lang w:val="en-US" w:eastAsia="zh-CN" w:bidi="ar"/>
    </w:rPr>
  </w:style>
  <w:style w:type="paragraph" w:styleId="4">
    <w:name w:val="heading 3"/>
    <w:basedOn w:val="1"/>
    <w:next w:val="1"/>
    <w:semiHidden/>
    <w:unhideWhenUsed/>
    <w:qFormat/>
    <w:uiPriority w:val="9"/>
    <w:pPr>
      <w:spacing w:before="0" w:beforeAutospacing="1" w:after="0" w:afterAutospacing="1"/>
      <w:jc w:val="left"/>
    </w:pPr>
    <w:rPr>
      <w:rFonts w:hint="eastAsia" w:ascii="宋体" w:hAnsi="宋体" w:eastAsia="宋体" w:cs="宋体"/>
      <w:b/>
      <w:bCs/>
      <w:kern w:val="0"/>
      <w:sz w:val="27"/>
      <w:szCs w:val="27"/>
      <w:lang w:val="en-US" w:eastAsia="zh-CN" w:bidi="ar"/>
    </w:rPr>
  </w:style>
  <w:style w:type="character" w:default="1" w:styleId="9">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5">
    <w:name w:val="footer"/>
    <w:basedOn w:val="1"/>
    <w:link w:val="15"/>
    <w:autoRedefine/>
    <w:unhideWhenUsed/>
    <w:qFormat/>
    <w:uiPriority w:val="99"/>
    <w:pPr>
      <w:tabs>
        <w:tab w:val="center" w:pos="4153"/>
        <w:tab w:val="right" w:pos="8306"/>
      </w:tabs>
      <w:snapToGrid w:val="0"/>
      <w:jc w:val="left"/>
    </w:pPr>
    <w:rPr>
      <w:sz w:val="18"/>
      <w:szCs w:val="18"/>
    </w:rPr>
  </w:style>
  <w:style w:type="paragraph" w:styleId="6">
    <w:name w:val="header"/>
    <w:basedOn w:val="1"/>
    <w:link w:val="14"/>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autoRedefine/>
    <w:semiHidden/>
    <w:unhideWhenUsed/>
    <w:qFormat/>
    <w:uiPriority w:val="99"/>
    <w:pPr>
      <w:widowControl/>
      <w:spacing w:before="100" w:beforeAutospacing="1" w:after="100" w:afterAutospacing="1"/>
      <w:jc w:val="left"/>
    </w:pPr>
    <w:rPr>
      <w:rFonts w:ascii="宋体" w:hAnsi="宋体" w:eastAsia="宋体" w:cs="宋体"/>
      <w:kern w:val="0"/>
      <w:sz w:val="24"/>
      <w:szCs w:val="24"/>
    </w:rPr>
  </w:style>
  <w:style w:type="character" w:styleId="10">
    <w:name w:val="Strong"/>
    <w:basedOn w:val="9"/>
    <w:qFormat/>
    <w:uiPriority w:val="22"/>
    <w:rPr>
      <w:b/>
    </w:rPr>
  </w:style>
  <w:style w:type="character" w:styleId="11">
    <w:name w:val="Hyperlink"/>
    <w:basedOn w:val="9"/>
    <w:semiHidden/>
    <w:unhideWhenUsed/>
    <w:qFormat/>
    <w:uiPriority w:val="99"/>
    <w:rPr>
      <w:color w:val="0000FF"/>
      <w:u w:val="single"/>
    </w:rPr>
  </w:style>
  <w:style w:type="paragraph" w:styleId="12">
    <w:name w:val="List Paragraph"/>
    <w:basedOn w:val="1"/>
    <w:autoRedefine/>
    <w:qFormat/>
    <w:uiPriority w:val="34"/>
    <w:pPr>
      <w:ind w:firstLine="420" w:firstLineChars="200"/>
    </w:pPr>
  </w:style>
  <w:style w:type="character" w:customStyle="1" w:styleId="13">
    <w:name w:val="标题 1 字符"/>
    <w:basedOn w:val="9"/>
    <w:link w:val="2"/>
    <w:autoRedefine/>
    <w:qFormat/>
    <w:uiPriority w:val="9"/>
    <w:rPr>
      <w:rFonts w:ascii="宋体" w:hAnsi="宋体" w:eastAsia="宋体" w:cs="宋体"/>
      <w:b/>
      <w:bCs/>
      <w:kern w:val="36"/>
      <w:sz w:val="48"/>
      <w:szCs w:val="48"/>
    </w:rPr>
  </w:style>
  <w:style w:type="character" w:customStyle="1" w:styleId="14">
    <w:name w:val="页眉 字符"/>
    <w:basedOn w:val="9"/>
    <w:link w:val="6"/>
    <w:autoRedefine/>
    <w:qFormat/>
    <w:uiPriority w:val="99"/>
    <w:rPr>
      <w:sz w:val="18"/>
      <w:szCs w:val="18"/>
    </w:rPr>
  </w:style>
  <w:style w:type="character" w:customStyle="1" w:styleId="15">
    <w:name w:val="页脚 字符"/>
    <w:basedOn w:val="9"/>
    <w:link w:val="5"/>
    <w:autoRedefine/>
    <w:qFormat/>
    <w:uiPriority w:val="99"/>
    <w:rPr>
      <w:sz w:val="18"/>
      <w:szCs w:val="18"/>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3</Pages>
  <Words>1147</Words>
  <Characters>1278</Characters>
  <Lines>13</Lines>
  <Paragraphs>3</Paragraphs>
  <TotalTime>105</TotalTime>
  <ScaleCrop>false</ScaleCrop>
  <LinksUpToDate>false</LinksUpToDate>
  <CharactersWithSpaces>1302</CharactersWithSpaces>
  <Application>WPS Office_12.1.26035.26035_F1E327BC-269C-435d-A152-05C5408002CA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2024-02-27T10:09:00Z</dcterms:created>
  <dc:creator>SIJIA LIU</dc:creator>
  <cp:lastModifiedBy>Liu Bouli</cp:lastModifiedBy>
  <cp:lastPrinted>2024-02-27T13:42:00Z</cp:lastPrinted>
  <dcterms:modified xsi:type="dcterms:W3CDTF">2026-07-22T13:41:07Z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2052-12.1.26035.26035</vt:lpwstr>
  </property>
  <property fmtid="{D5CDD505-2E9C-101B-9397-08002B2CF9AE}" pid="3" name="ICV">
    <vt:lpwstr>FAE5799FAA232C38D63D606AEE49397A_43</vt:lpwstr>
  </property>
  <property fmtid="{D5CDD505-2E9C-101B-9397-08002B2CF9AE}" pid="4" name="KSOTemplateDocerSaveRecord">
    <vt:lpwstr>eyJoZGlkIjoiYjBiNTI2NGE5Zjc2YjU3YmQ4NWRlY2U5MGJjMzk2YzIiLCJ1c2VySWQiOiIxMTY1MzQ2MDEyIn0=</vt:lpwstr>
  </property>
</Properties>
</file>