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7E06F5">
      <w:pPr>
        <w:pStyle w:val="2"/>
        <w:keepNext w:val="0"/>
        <w:keepLines w:val="0"/>
        <w:widowControl/>
        <w:shd w:val="clear" w:color="auto" w:fill="FFFFFF"/>
        <w:spacing w:before="0" w:after="0" w:line="540" w:lineRule="atLeast"/>
        <w:jc w:val="left"/>
        <w:rPr>
          <w:rFonts w:hint="default" w:ascii="黑体" w:hAnsi="黑体" w:eastAsia="黑体" w:cs="宋体"/>
          <w:b w:val="0"/>
          <w:bCs w:val="0"/>
          <w:kern w:val="0"/>
          <w:sz w:val="22"/>
          <w:szCs w:val="22"/>
          <w:lang w:val="en-US" w:eastAsia="zh-CN"/>
        </w:rPr>
      </w:pPr>
      <w:r>
        <w:rPr>
          <w:rFonts w:ascii="宋体" w:hAnsi="宋体" w:eastAsia="宋体" w:cs="宋体"/>
          <w:b w:val="0"/>
          <w:kern w:val="0"/>
          <w:sz w:val="48"/>
          <w:szCs w:val="48"/>
        </w:rPr>
        <w:drawing>
          <wp:anchor distT="0" distB="0" distL="114300" distR="114300" simplePos="0" relativeHeight="251659264" behindDoc="0" locked="0" layoutInCell="1" allowOverlap="1">
            <wp:simplePos x="0" y="0"/>
            <wp:positionH relativeFrom="column">
              <wp:posOffset>-1141095</wp:posOffset>
            </wp:positionH>
            <wp:positionV relativeFrom="paragraph">
              <wp:posOffset>-1800225</wp:posOffset>
            </wp:positionV>
            <wp:extent cx="7600950" cy="1000125"/>
            <wp:effectExtent l="19050" t="0" r="0" b="0"/>
            <wp:wrapNone/>
            <wp:docPr id="1" name="图片 1" descr="C:\Users\suki\AppData\Roaming\Tencent\Users\352134081\QQ\WinTemp\RichOle\P1@ZEBS`9Q0@GDU9Z~Z5AX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suki\AppData\Roaming\Tencent\Users\352134081\QQ\WinTemp\RichOle\P1@ZEBS`9Q0@GDU9Z~Z5AXH.jpg"/>
                    <pic:cNvPicPr>
                      <a:picLocks noChangeAspect="1" noChangeArrowheads="1"/>
                    </pic:cNvPicPr>
                  </pic:nvPicPr>
                  <pic:blipFill>
                    <a:blip r:embed="rId6" cstate="print"/>
                    <a:srcRect/>
                    <a:stretch>
                      <a:fillRect/>
                    </a:stretch>
                  </pic:blipFill>
                  <pic:spPr>
                    <a:xfrm>
                      <a:off x="0" y="0"/>
                      <a:ext cx="7600950" cy="1000125"/>
                    </a:xfrm>
                    <a:prstGeom prst="rect">
                      <a:avLst/>
                    </a:prstGeom>
                    <a:noFill/>
                    <a:ln w="9525">
                      <a:noFill/>
                      <a:miter lim="800000"/>
                      <a:headEnd/>
                      <a:tailEnd/>
                    </a:ln>
                  </pic:spPr>
                </pic:pic>
              </a:graphicData>
            </a:graphic>
          </wp:anchor>
        </w:drawing>
      </w:r>
      <w:r>
        <w:rPr>
          <w:rFonts w:ascii="宋体" w:hAnsi="宋体" w:eastAsia="宋体" w:cs="宋体"/>
          <w:b w:val="0"/>
          <w:kern w:val="0"/>
          <w:sz w:val="48"/>
          <w:szCs w:val="48"/>
        </w:rPr>
        <mc:AlternateContent>
          <mc:Choice Requires="wps">
            <w:drawing>
              <wp:anchor distT="0" distB="0" distL="114300" distR="114300" simplePos="0" relativeHeight="251660288" behindDoc="1" locked="0" layoutInCell="1" allowOverlap="1">
                <wp:simplePos x="0" y="0"/>
                <wp:positionH relativeFrom="column">
                  <wp:posOffset>-1190625</wp:posOffset>
                </wp:positionH>
                <wp:positionV relativeFrom="paragraph">
                  <wp:posOffset>-727710</wp:posOffset>
                </wp:positionV>
                <wp:extent cx="7658100" cy="409575"/>
                <wp:effectExtent l="64770" t="72390" r="68580" b="70485"/>
                <wp:wrapNone/>
                <wp:docPr id="14" name="Rectangle 2"/>
                <wp:cNvGraphicFramePr/>
                <a:graphic xmlns:a="http://schemas.openxmlformats.org/drawingml/2006/main">
                  <a:graphicData uri="http://schemas.microsoft.com/office/word/2010/wordprocessingShape">
                    <wps:wsp>
                      <wps:cNvSpPr>
                        <a:spLocks noChangeArrowheads="1"/>
                      </wps:cNvSpPr>
                      <wps:spPr bwMode="auto">
                        <a:xfrm>
                          <a:off x="0" y="0"/>
                          <a:ext cx="7658100" cy="409575"/>
                        </a:xfrm>
                        <a:prstGeom prst="rect">
                          <a:avLst/>
                        </a:prstGeom>
                        <a:solidFill>
                          <a:schemeClr val="accent1">
                            <a:lumMod val="100000"/>
                            <a:lumOff val="0"/>
                          </a:schemeClr>
                        </a:solidFill>
                        <a:ln w="127000" cmpd="dbl">
                          <a:solidFill>
                            <a:schemeClr val="accent1">
                              <a:lumMod val="100000"/>
                              <a:lumOff val="0"/>
                            </a:schemeClr>
                          </a:solidFill>
                          <a:miter lim="800000"/>
                        </a:ln>
                        <a:effectLst/>
                      </wps:spPr>
                      <wps:txbx>
                        <w:txbxContent>
                          <w:p w14:paraId="77C4B410">
                            <w:pPr>
                              <w:rPr>
                                <w:rFonts w:ascii="微软雅黑" w:hAnsi="微软雅黑" w:eastAsia="微软雅黑"/>
                                <w:b/>
                                <w:color w:val="FFFFFF" w:themeColor="background1"/>
                                <w:sz w:val="18"/>
                                <w:szCs w:val="18"/>
                                <w14:textFill>
                                  <w14:solidFill>
                                    <w14:schemeClr w14:val="bg1"/>
                                  </w14:solidFill>
                                </w14:textFill>
                              </w:rPr>
                            </w:pPr>
                            <w:r>
                              <w:rPr>
                                <w:rFonts w:hint="eastAsia" w:ascii="微软雅黑" w:hAnsi="微软雅黑" w:eastAsia="微软雅黑"/>
                                <w:b/>
                                <w:color w:val="FFFFFF" w:themeColor="background1"/>
                                <w:sz w:val="18"/>
                                <w:szCs w:val="18"/>
                                <w14:textFill>
                                  <w14:solidFill>
                                    <w14:schemeClr w14:val="bg1"/>
                                  </w14:solidFill>
                                </w14:textFill>
                              </w:rPr>
                              <w:t>研究报告                                                                                                      202</w:t>
                            </w:r>
                            <w:r>
                              <w:rPr>
                                <w:rFonts w:hint="eastAsia" w:ascii="微软雅黑" w:hAnsi="微软雅黑" w:eastAsia="微软雅黑"/>
                                <w:b/>
                                <w:color w:val="FFFFFF" w:themeColor="background1"/>
                                <w:sz w:val="18"/>
                                <w:szCs w:val="18"/>
                                <w:lang w:val="en-US" w:eastAsia="zh-CN"/>
                                <w14:textFill>
                                  <w14:solidFill>
                                    <w14:schemeClr w14:val="bg1"/>
                                  </w14:solidFill>
                                </w14:textFill>
                              </w:rPr>
                              <w:t>5</w:t>
                            </w:r>
                            <w:r>
                              <w:rPr>
                                <w:rFonts w:hint="eastAsia" w:ascii="微软雅黑" w:hAnsi="微软雅黑" w:eastAsia="微软雅黑"/>
                                <w:b/>
                                <w:color w:val="FFFFFF" w:themeColor="background1"/>
                                <w:sz w:val="18"/>
                                <w:szCs w:val="18"/>
                                <w14:textFill>
                                  <w14:solidFill>
                                    <w14:schemeClr w14:val="bg1"/>
                                  </w14:solidFill>
                                </w14:textFill>
                              </w:rPr>
                              <w:t>年</w:t>
                            </w:r>
                            <w:r>
                              <w:rPr>
                                <w:rFonts w:hint="eastAsia" w:ascii="微软雅黑" w:hAnsi="微软雅黑" w:eastAsia="微软雅黑"/>
                                <w:b/>
                                <w:color w:val="FFFFFF" w:themeColor="background1"/>
                                <w:sz w:val="18"/>
                                <w:szCs w:val="18"/>
                                <w:lang w:val="en-US" w:eastAsia="zh-CN"/>
                                <w14:textFill>
                                  <w14:solidFill>
                                    <w14:schemeClr w14:val="bg1"/>
                                  </w14:solidFill>
                                </w14:textFill>
                              </w:rPr>
                              <w:t>10</w:t>
                            </w:r>
                            <w:r>
                              <w:rPr>
                                <w:rFonts w:hint="eastAsia" w:ascii="微软雅黑" w:hAnsi="微软雅黑" w:eastAsia="微软雅黑"/>
                                <w:b/>
                                <w:color w:val="FFFFFF" w:themeColor="background1"/>
                                <w:sz w:val="18"/>
                                <w:szCs w:val="18"/>
                                <w14:textFill>
                                  <w14:solidFill>
                                    <w14:schemeClr w14:val="bg1"/>
                                  </w14:solidFill>
                                </w14:textFill>
                              </w:rPr>
                              <w:t>月</w:t>
                            </w:r>
                            <w:r>
                              <w:rPr>
                                <w:rFonts w:hint="eastAsia" w:ascii="微软雅黑" w:hAnsi="微软雅黑" w:eastAsia="微软雅黑"/>
                                <w:b/>
                                <w:color w:val="FFFFFF" w:themeColor="background1"/>
                                <w:sz w:val="18"/>
                                <w:szCs w:val="18"/>
                                <w:lang w:val="en-US" w:eastAsia="zh-CN"/>
                                <w14:textFill>
                                  <w14:solidFill>
                                    <w14:schemeClr w14:val="bg1"/>
                                  </w14:solidFill>
                                </w14:textFill>
                              </w:rPr>
                              <w:t>31</w:t>
                            </w:r>
                            <w:r>
                              <w:rPr>
                                <w:rFonts w:ascii="微软雅黑" w:hAnsi="微软雅黑" w:eastAsia="微软雅黑"/>
                                <w:b/>
                                <w:color w:val="FFFFFF" w:themeColor="background1"/>
                                <w:sz w:val="18"/>
                                <w:szCs w:val="18"/>
                                <w14:textFill>
                                  <w14:solidFill>
                                    <w14:schemeClr w14:val="bg1"/>
                                  </w14:solidFill>
                                </w14:textFill>
                              </w:rPr>
                              <w:t>日</w:t>
                            </w:r>
                          </w:p>
                        </w:txbxContent>
                      </wps:txbx>
                      <wps:bodyPr rot="0" vert="horz" wrap="square" lIns="91440" tIns="45720" rIns="91440" bIns="45720" anchor="t" anchorCtr="0" upright="1">
                        <a:noAutofit/>
                      </wps:bodyPr>
                    </wps:wsp>
                  </a:graphicData>
                </a:graphic>
              </wp:anchor>
            </w:drawing>
          </mc:Choice>
          <mc:Fallback>
            <w:pict>
              <v:rect id="Rectangle 2" o:spid="_x0000_s1026" o:spt="1" style="position:absolute;left:0pt;margin-left:-93.75pt;margin-top:-57.3pt;height:32.25pt;width:603pt;z-index:-251656192;mso-width-relative:page;mso-height-relative:page;" fillcolor="#4F81BD [3220]" filled="t" stroked="t" coordsize="21600,21600" o:gfxdata="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BNwb9y2gAA&#10;AA4BAAAPAAAAAAAAAAEAIAAAACIAAABkcnMvZG93bnJldi54bWxQSwECFAAUAAAACACHTuJAs794&#10;YFUCAAAFBQAADgAAAAAAAAABACAAAAApAQAAZHJzL2Uyb0RvYy54bWxQSwUGAAAAAAYABgBZAQAA&#10;8AUAAAAA&#10;">
                <v:fill on="t" focussize="0,0"/>
                <v:stroke weight="10pt" color="#4F81BD [3220]" linestyle="thinThin" miterlimit="8" joinstyle="miter"/>
                <v:imagedata o:title=""/>
                <o:lock v:ext="edit" aspectratio="f"/>
                <v:textbox>
                  <w:txbxContent>
                    <w:p w14:paraId="77C4B410">
                      <w:pPr>
                        <w:rPr>
                          <w:rFonts w:ascii="微软雅黑" w:hAnsi="微软雅黑" w:eastAsia="微软雅黑"/>
                          <w:b/>
                          <w:color w:val="FFFFFF" w:themeColor="background1"/>
                          <w:sz w:val="18"/>
                          <w:szCs w:val="18"/>
                          <w14:textFill>
                            <w14:solidFill>
                              <w14:schemeClr w14:val="bg1"/>
                            </w14:solidFill>
                          </w14:textFill>
                        </w:rPr>
                      </w:pPr>
                      <w:r>
                        <w:rPr>
                          <w:rFonts w:hint="eastAsia" w:ascii="微软雅黑" w:hAnsi="微软雅黑" w:eastAsia="微软雅黑"/>
                          <w:b/>
                          <w:color w:val="FFFFFF" w:themeColor="background1"/>
                          <w:sz w:val="18"/>
                          <w:szCs w:val="18"/>
                          <w14:textFill>
                            <w14:solidFill>
                              <w14:schemeClr w14:val="bg1"/>
                            </w14:solidFill>
                          </w14:textFill>
                        </w:rPr>
                        <w:t>研究报告                                                                                                      202</w:t>
                      </w:r>
                      <w:r>
                        <w:rPr>
                          <w:rFonts w:hint="eastAsia" w:ascii="微软雅黑" w:hAnsi="微软雅黑" w:eastAsia="微软雅黑"/>
                          <w:b/>
                          <w:color w:val="FFFFFF" w:themeColor="background1"/>
                          <w:sz w:val="18"/>
                          <w:szCs w:val="18"/>
                          <w:lang w:val="en-US" w:eastAsia="zh-CN"/>
                          <w14:textFill>
                            <w14:solidFill>
                              <w14:schemeClr w14:val="bg1"/>
                            </w14:solidFill>
                          </w14:textFill>
                        </w:rPr>
                        <w:t>5</w:t>
                      </w:r>
                      <w:r>
                        <w:rPr>
                          <w:rFonts w:hint="eastAsia" w:ascii="微软雅黑" w:hAnsi="微软雅黑" w:eastAsia="微软雅黑"/>
                          <w:b/>
                          <w:color w:val="FFFFFF" w:themeColor="background1"/>
                          <w:sz w:val="18"/>
                          <w:szCs w:val="18"/>
                          <w14:textFill>
                            <w14:solidFill>
                              <w14:schemeClr w14:val="bg1"/>
                            </w14:solidFill>
                          </w14:textFill>
                        </w:rPr>
                        <w:t>年</w:t>
                      </w:r>
                      <w:r>
                        <w:rPr>
                          <w:rFonts w:hint="eastAsia" w:ascii="微软雅黑" w:hAnsi="微软雅黑" w:eastAsia="微软雅黑"/>
                          <w:b/>
                          <w:color w:val="FFFFFF" w:themeColor="background1"/>
                          <w:sz w:val="18"/>
                          <w:szCs w:val="18"/>
                          <w:lang w:val="en-US" w:eastAsia="zh-CN"/>
                          <w14:textFill>
                            <w14:solidFill>
                              <w14:schemeClr w14:val="bg1"/>
                            </w14:solidFill>
                          </w14:textFill>
                        </w:rPr>
                        <w:t>10</w:t>
                      </w:r>
                      <w:r>
                        <w:rPr>
                          <w:rFonts w:hint="eastAsia" w:ascii="微软雅黑" w:hAnsi="微软雅黑" w:eastAsia="微软雅黑"/>
                          <w:b/>
                          <w:color w:val="FFFFFF" w:themeColor="background1"/>
                          <w:sz w:val="18"/>
                          <w:szCs w:val="18"/>
                          <w14:textFill>
                            <w14:solidFill>
                              <w14:schemeClr w14:val="bg1"/>
                            </w14:solidFill>
                          </w14:textFill>
                        </w:rPr>
                        <w:t>月</w:t>
                      </w:r>
                      <w:r>
                        <w:rPr>
                          <w:rFonts w:hint="eastAsia" w:ascii="微软雅黑" w:hAnsi="微软雅黑" w:eastAsia="微软雅黑"/>
                          <w:b/>
                          <w:color w:val="FFFFFF" w:themeColor="background1"/>
                          <w:sz w:val="18"/>
                          <w:szCs w:val="18"/>
                          <w:lang w:val="en-US" w:eastAsia="zh-CN"/>
                          <w14:textFill>
                            <w14:solidFill>
                              <w14:schemeClr w14:val="bg1"/>
                            </w14:solidFill>
                          </w14:textFill>
                        </w:rPr>
                        <w:t>31</w:t>
                      </w:r>
                      <w:r>
                        <w:rPr>
                          <w:rFonts w:ascii="微软雅黑" w:hAnsi="微软雅黑" w:eastAsia="微软雅黑"/>
                          <w:b/>
                          <w:color w:val="FFFFFF" w:themeColor="background1"/>
                          <w:sz w:val="18"/>
                          <w:szCs w:val="18"/>
                          <w14:textFill>
                            <w14:solidFill>
                              <w14:schemeClr w14:val="bg1"/>
                            </w14:solidFill>
                          </w14:textFill>
                        </w:rPr>
                        <w:t>日</w:t>
                      </w:r>
                    </w:p>
                  </w:txbxContent>
                </v:textbox>
              </v:rect>
            </w:pict>
          </mc:Fallback>
        </mc:AlternateContent>
      </w:r>
      <w:r>
        <w:rPr>
          <w:rFonts w:ascii="黑体" w:hAnsi="黑体" w:eastAsia="黑体" w:cs="宋体"/>
          <w:b w:val="0"/>
          <w:kern w:val="0"/>
          <w:sz w:val="48"/>
          <w:szCs w:val="48"/>
        </w:rPr>
        <mc:AlternateContent>
          <mc:Choice Requires="wps">
            <w:drawing>
              <wp:anchor distT="0" distB="0" distL="114300" distR="114300" simplePos="0" relativeHeight="251661312" behindDoc="0" locked="0" layoutInCell="1" allowOverlap="1">
                <wp:simplePos x="0" y="0"/>
                <wp:positionH relativeFrom="column">
                  <wp:posOffset>-819150</wp:posOffset>
                </wp:positionH>
                <wp:positionV relativeFrom="paragraph">
                  <wp:posOffset>388620</wp:posOffset>
                </wp:positionV>
                <wp:extent cx="6264275" cy="0"/>
                <wp:effectExtent l="7620" t="7620" r="14605" b="11430"/>
                <wp:wrapNone/>
                <wp:docPr id="13" name="AutoShape 4"/>
                <wp:cNvGraphicFramePr/>
                <a:graphic xmlns:a="http://schemas.openxmlformats.org/drawingml/2006/main">
                  <a:graphicData uri="http://schemas.microsoft.com/office/word/2010/wordprocessingShape">
                    <wps:wsp>
                      <wps:cNvCnPr>
                        <a:cxnSpLocks noChangeShapeType="1"/>
                      </wps:cNvCnPr>
                      <wps:spPr bwMode="auto">
                        <a:xfrm>
                          <a:off x="0" y="0"/>
                          <a:ext cx="6264275" cy="0"/>
                        </a:xfrm>
                        <a:prstGeom prst="straightConnector1">
                          <a:avLst/>
                        </a:prstGeom>
                        <a:noFill/>
                        <a:ln w="12700">
                          <a:solidFill>
                            <a:srgbClr val="000000"/>
                          </a:solidFill>
                          <a:round/>
                        </a:ln>
                      </wps:spPr>
                      <wps:bodyPr/>
                    </wps:wsp>
                  </a:graphicData>
                </a:graphic>
              </wp:anchor>
            </w:drawing>
          </mc:Choice>
          <mc:Fallback>
            <w:pict>
              <v:shape id="AutoShape 4" o:spid="_x0000_s1026" o:spt="32" type="#_x0000_t32" style="position:absolute;left:0pt;margin-left:-64.5pt;margin-top:30.6pt;height:0pt;width:493.25pt;z-index:251661312;mso-width-relative:page;mso-height-relative:page;" filled="f" stroked="t" coordsize="21600,21600" o:gfxdata="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7Zwoi9YAAAAKAQAADwAAAAAAAAABACAA&#10;AAAiAAAAZHJzL2Rvd25yZXYueG1sUEsBAhQAFAAAAAgAh07iQHNifMjWAQAAtAMAAA4AAAAAAAAA&#10;AQAgAAAAJQEAAGRycy9lMm9Eb2MueG1sUEsFBgAAAAAGAAYAWQEAAG0FAAAAAA==&#10;">
                <v:fill on="f" focussize="0,0"/>
                <v:stroke weight="1pt" color="#000000" joinstyle="round"/>
                <v:imagedata o:title=""/>
                <o:lock v:ext="edit" aspectratio="f"/>
              </v:shape>
            </w:pict>
          </mc:Fallback>
        </mc:AlternateContent>
      </w:r>
      <w:r>
        <w:rPr>
          <w:rFonts w:hint="eastAsia" w:ascii="黑体" w:hAnsi="黑体" w:eastAsia="黑体" w:cs="宋体"/>
          <w:kern w:val="0"/>
          <w:sz w:val="48"/>
          <w:szCs w:val="48"/>
        </w:rPr>
        <w:t>煤炭行业周报</w:t>
      </w:r>
      <w:r>
        <w:rPr>
          <w:rFonts w:hint="eastAsia" w:ascii="黑体" w:hAnsi="黑体" w:eastAsia="黑体" w:cs="宋体"/>
          <w:kern w:val="0"/>
          <w:sz w:val="24"/>
          <w:szCs w:val="24"/>
        </w:rPr>
        <w:t>——</w:t>
      </w:r>
      <w:r>
        <w:rPr>
          <w:rFonts w:hint="eastAsia" w:ascii="黑体" w:hAnsi="黑体" w:eastAsia="黑体" w:cs="宋体"/>
          <w:kern w:val="0"/>
          <w:sz w:val="24"/>
          <w:szCs w:val="24"/>
          <w:lang w:val="en-US" w:eastAsia="zh-CN"/>
        </w:rPr>
        <w:t>供给趋紧，煤价上涨</w:t>
      </w:r>
    </w:p>
    <w:p w14:paraId="68F16607">
      <w:pPr>
        <w:tabs>
          <w:tab w:val="left" w:pos="2115"/>
          <w:tab w:val="left" w:pos="6526"/>
        </w:tabs>
        <w:spacing w:before="240" w:line="360" w:lineRule="auto"/>
        <w:ind w:left="-1275" w:leftChars="-607"/>
        <w:rPr>
          <w:rFonts w:asciiTheme="minorEastAsia" w:hAnsiTheme="minorEastAsia"/>
          <w:b/>
          <w:sz w:val="24"/>
          <w:szCs w:val="24"/>
        </w:rPr>
      </w:pPr>
      <w:r>
        <w:rPr>
          <w:rFonts w:hint="eastAsia" w:asciiTheme="minorEastAsia" w:hAnsiTheme="minorEastAsia"/>
          <w:b/>
          <w:sz w:val="24"/>
          <w:szCs w:val="24"/>
        </w:rPr>
        <w:t>1、市场回顾</w:t>
      </w:r>
      <w:r>
        <w:rPr>
          <w:rFonts w:asciiTheme="minorEastAsia" w:hAnsiTheme="minorEastAsia"/>
          <w:b/>
          <w:sz w:val="24"/>
          <w:szCs w:val="24"/>
        </w:rPr>
        <w:tab/>
      </w:r>
      <w:r>
        <w:rPr>
          <w:rFonts w:hint="eastAsia" w:asciiTheme="minorEastAsia" w:hAnsiTheme="minorEastAsia"/>
          <w:b/>
          <w:sz w:val="24"/>
          <w:szCs w:val="24"/>
        </w:rPr>
        <w:tab/>
      </w:r>
    </w:p>
    <w:p w14:paraId="35134E9C">
      <w:pPr>
        <w:spacing w:line="360" w:lineRule="auto"/>
        <w:ind w:left="-1275" w:leftChars="-607"/>
        <w:rPr>
          <w:rFonts w:asciiTheme="minorEastAsia" w:hAnsiTheme="minorEastAsia"/>
          <w:b/>
          <w:sz w:val="24"/>
          <w:szCs w:val="24"/>
        </w:rPr>
      </w:pPr>
      <w:r>
        <w:rPr>
          <w:rFonts w:hint="eastAsia" w:asciiTheme="minorEastAsia" w:hAnsiTheme="minorEastAsia"/>
          <w:b/>
          <w:sz w:val="24"/>
          <w:szCs w:val="24"/>
        </w:rPr>
        <w:t>2、行业重点新闻</w:t>
      </w:r>
    </w:p>
    <w:p w14:paraId="5B6470F4">
      <w:pPr>
        <w:widowControl/>
        <w:ind w:left="-1275" w:leftChars="-607" w:right="-1191" w:rightChars="-567"/>
        <w:jc w:val="left"/>
        <w:rPr>
          <w:rFonts w:ascii="宋体" w:hAnsi="宋体" w:eastAsia="宋体" w:cs="宋体"/>
          <w:kern w:val="0"/>
          <w:sz w:val="24"/>
          <w:szCs w:val="24"/>
        </w:rPr>
      </w:pPr>
      <w:r>
        <w:rPr>
          <w:rFonts w:ascii="黑体" w:hAnsi="黑体" w:eastAsia="黑体" w:cs="宋体"/>
          <w:kern w:val="0"/>
          <w:sz w:val="44"/>
          <w:szCs w:val="44"/>
        </w:rPr>
        <mc:AlternateContent>
          <mc:Choice Requires="wps">
            <w:drawing>
              <wp:anchor distT="0" distB="0" distL="114300" distR="114300" simplePos="0" relativeHeight="251662336" behindDoc="0" locked="0" layoutInCell="1" allowOverlap="1">
                <wp:simplePos x="0" y="0"/>
                <wp:positionH relativeFrom="column">
                  <wp:posOffset>-809625</wp:posOffset>
                </wp:positionH>
                <wp:positionV relativeFrom="paragraph">
                  <wp:posOffset>160020</wp:posOffset>
                </wp:positionV>
                <wp:extent cx="6264275" cy="0"/>
                <wp:effectExtent l="7620" t="7620" r="14605" b="11430"/>
                <wp:wrapNone/>
                <wp:docPr id="12" name="AutoShape 5"/>
                <wp:cNvGraphicFramePr/>
                <a:graphic xmlns:a="http://schemas.openxmlformats.org/drawingml/2006/main">
                  <a:graphicData uri="http://schemas.microsoft.com/office/word/2010/wordprocessingShape">
                    <wps:wsp>
                      <wps:cNvCnPr>
                        <a:cxnSpLocks noChangeShapeType="1"/>
                      </wps:cNvCnPr>
                      <wps:spPr bwMode="auto">
                        <a:xfrm>
                          <a:off x="0" y="0"/>
                          <a:ext cx="6264275" cy="0"/>
                        </a:xfrm>
                        <a:prstGeom prst="straightConnector1">
                          <a:avLst/>
                        </a:prstGeom>
                        <a:noFill/>
                        <a:ln w="12700">
                          <a:solidFill>
                            <a:srgbClr val="000000"/>
                          </a:solidFill>
                          <a:round/>
                        </a:ln>
                      </wps:spPr>
                      <wps:bodyPr/>
                    </wps:wsp>
                  </a:graphicData>
                </a:graphic>
              </wp:anchor>
            </w:drawing>
          </mc:Choice>
          <mc:Fallback>
            <w:pict>
              <v:shape id="AutoShape 5" o:spid="_x0000_s1026" o:spt="32" type="#_x0000_t32" style="position:absolute;left:0pt;margin-left:-63.75pt;margin-top:12.6pt;height:0pt;width:493.25pt;z-index:251662336;mso-width-relative:page;mso-height-relative:page;" filled="f" stroked="t" coordsize="21600,21600" o:gfxdata="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47+QTVAAAACgEAAA8AAAAAAAAAAQAgAAAA&#10;IgAAAGRycy9kb3ducmV2LnhtbFBLAQIUABQAAAAIAIdO4kA9zg6T1QEAALQDAAAOAAAAAAAAAAEA&#10;IAAAACQBAABkcnMvZTJvRG9jLnhtbFBLBQYAAAAABgAGAFkBAABrBQAAAAA=&#10;">
                <v:fill on="f" focussize="0,0"/>
                <v:stroke weight="1pt" color="#000000" joinstyle="round"/>
                <v:imagedata o:title=""/>
                <o:lock v:ext="edit" aspectratio="f"/>
              </v:shape>
            </w:pict>
          </mc:Fallback>
        </mc:AlternateContent>
      </w:r>
    </w:p>
    <w:p w14:paraId="0067724F">
      <w:pPr>
        <w:widowControl/>
        <w:numPr>
          <w:ilvl w:val="0"/>
          <w:numId w:val="1"/>
        </w:numPr>
        <w:spacing w:line="360" w:lineRule="auto"/>
        <w:ind w:left="-1275" w:leftChars="-607" w:right="-1191" w:rightChars="-567"/>
        <w:jc w:val="left"/>
        <w:rPr>
          <w:rFonts w:hint="eastAsia" w:ascii="微软雅黑" w:hAnsi="微软雅黑" w:eastAsia="微软雅黑" w:cs="宋体"/>
          <w:b/>
          <w:kern w:val="0"/>
          <w:sz w:val="28"/>
          <w:szCs w:val="28"/>
        </w:rPr>
      </w:pPr>
      <w:r>
        <w:rPr>
          <w:rFonts w:hint="eastAsia" w:ascii="微软雅黑" w:hAnsi="微软雅黑" w:eastAsia="微软雅黑" w:cs="宋体"/>
          <w:b/>
          <w:kern w:val="0"/>
          <w:sz w:val="28"/>
          <w:szCs w:val="28"/>
        </w:rPr>
        <w:t>市场回顾</w:t>
      </w:r>
    </w:p>
    <w:p w14:paraId="1283B41D">
      <w:pPr>
        <w:pStyle w:val="28"/>
        <w:numPr>
          <w:ilvl w:val="0"/>
          <w:numId w:val="2"/>
        </w:numPr>
        <w:rPr>
          <w:b/>
          <w:bCs/>
        </w:rPr>
      </w:pPr>
      <w:r>
        <w:rPr>
          <w:rFonts w:hint="eastAsia"/>
        </w:rPr>
        <w:t>价格：</w:t>
      </w:r>
      <w:bookmarkStart w:id="0" w:name="OLE_LINK11"/>
      <w:bookmarkStart w:id="1" w:name="OLE_LINK6"/>
      <w:bookmarkStart w:id="2" w:name="OLE_LINK7"/>
      <w:bookmarkStart w:id="3" w:name="OLE_LINK5"/>
      <w:bookmarkStart w:id="4" w:name="OLE_LINK8"/>
      <w:r>
        <w:rPr>
          <w:rFonts w:ascii="Helvetica" w:hAnsi="Helvetica"/>
          <w:color w:val="000000"/>
          <w:shd w:val="clear" w:color="auto" w:fill="FFFFFF"/>
        </w:rPr>
        <w:t>环渤海动力煤价格</w:t>
      </w:r>
      <w:r>
        <w:rPr>
          <w:rFonts w:hint="eastAsia" w:ascii="Helvetica" w:hAnsi="Helvetica"/>
          <w:color w:val="000000"/>
          <w:shd w:val="clear" w:color="auto" w:fill="FFFFFF"/>
        </w:rPr>
        <w:t>指数</w:t>
      </w:r>
      <w:bookmarkEnd w:id="0"/>
      <w:bookmarkEnd w:id="1"/>
      <w:bookmarkEnd w:id="2"/>
      <w:bookmarkEnd w:id="3"/>
      <w:bookmarkEnd w:id="4"/>
      <w:r>
        <w:rPr>
          <w:rFonts w:hint="eastAsia" w:ascii="Helvetica" w:hAnsi="Helvetica"/>
          <w:color w:val="000000"/>
          <w:shd w:val="clear" w:color="auto" w:fill="FFFFFF"/>
          <w:lang w:val="en-US" w:eastAsia="zh-CN"/>
        </w:rPr>
        <w:t>上涨，国际煤价涨跌不一。</w:t>
      </w:r>
    </w:p>
    <w:p w14:paraId="3D4E0BDC">
      <w:pPr>
        <w:pStyle w:val="28"/>
        <w:numPr>
          <w:ilvl w:val="0"/>
          <w:numId w:val="2"/>
        </w:numPr>
        <w:rPr>
          <w:b/>
          <w:bCs/>
        </w:rPr>
      </w:pPr>
      <w:r>
        <w:rPr>
          <w:rFonts w:hint="eastAsia"/>
        </w:rPr>
        <w:t>环渤海动力煤价格指数当期价格：</w:t>
      </w:r>
      <w:r>
        <w:t xml:space="preserve">  </w:t>
      </w:r>
    </w:p>
    <w:tbl>
      <w:tblPr>
        <w:tblStyle w:val="12"/>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02"/>
        <w:gridCol w:w="1494"/>
        <w:gridCol w:w="1308"/>
        <w:gridCol w:w="1308"/>
        <w:gridCol w:w="1313"/>
      </w:tblGrid>
      <w:tr w14:paraId="214C3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3" w:hRule="atLeast"/>
        </w:trPr>
        <w:tc>
          <w:tcPr>
            <w:tcW w:w="1819" w:type="pct"/>
            <w:vMerge w:val="restart"/>
            <w:tcBorders>
              <w:top w:val="single" w:color="FFFFFF" w:sz="8" w:space="0"/>
              <w:left w:val="single" w:color="FFFFFF" w:sz="8" w:space="0"/>
              <w:right w:val="single" w:color="FFFFFF" w:sz="8" w:space="0"/>
            </w:tcBorders>
            <w:shd w:val="clear" w:color="auto" w:fill="548DD4"/>
            <w:vAlign w:val="center"/>
          </w:tcPr>
          <w:p w14:paraId="56295BC6">
            <w:pPr>
              <w:pStyle w:val="30"/>
              <w:bidi w:val="0"/>
            </w:pPr>
            <w:r>
              <w:rPr>
                <w:rFonts w:hint="eastAsia"/>
                <w:lang w:val="en-US" w:eastAsia="zh-CN"/>
              </w:rPr>
              <w:t>名称</w:t>
            </w:r>
          </w:p>
        </w:tc>
        <w:tc>
          <w:tcPr>
            <w:tcW w:w="876" w:type="pct"/>
            <w:vMerge w:val="restart"/>
            <w:tcBorders>
              <w:top w:val="single" w:color="FFFFFF" w:sz="8" w:space="0"/>
              <w:left w:val="single" w:color="FFFFFF" w:sz="8" w:space="0"/>
              <w:right w:val="single" w:color="FFFFFF" w:sz="8" w:space="0"/>
            </w:tcBorders>
            <w:shd w:val="clear" w:color="auto" w:fill="548DD4"/>
            <w:vAlign w:val="center"/>
          </w:tcPr>
          <w:p w14:paraId="60BDE3DE">
            <w:pPr>
              <w:pStyle w:val="30"/>
              <w:bidi w:val="0"/>
              <w:rPr>
                <w:rFonts w:hint="eastAsia"/>
              </w:rPr>
            </w:pPr>
            <w:r>
              <w:rPr>
                <w:rFonts w:hint="eastAsia"/>
                <w:lang w:val="en-US" w:eastAsia="zh-CN"/>
              </w:rPr>
              <w:t>发布日期</w:t>
            </w:r>
          </w:p>
        </w:tc>
        <w:tc>
          <w:tcPr>
            <w:tcW w:w="767" w:type="pct"/>
            <w:vMerge w:val="restart"/>
            <w:tcBorders>
              <w:top w:val="single" w:color="FFFFFF" w:sz="8" w:space="0"/>
              <w:left w:val="single" w:color="FFFFFF" w:sz="8" w:space="0"/>
              <w:right w:val="single" w:color="FFFFFF" w:sz="8" w:space="0"/>
            </w:tcBorders>
            <w:shd w:val="clear" w:color="auto" w:fill="548DD4"/>
            <w:vAlign w:val="center"/>
          </w:tcPr>
          <w:p w14:paraId="7DF5FFA8">
            <w:pPr>
              <w:pStyle w:val="30"/>
              <w:bidi w:val="0"/>
              <w:rPr>
                <w:rFonts w:hint="eastAsia"/>
              </w:rPr>
            </w:pPr>
            <w:r>
              <w:rPr>
                <w:rFonts w:hint="eastAsia"/>
                <w:lang w:val="en-US" w:eastAsia="zh-CN"/>
              </w:rPr>
              <w:t>指数</w:t>
            </w:r>
          </w:p>
        </w:tc>
        <w:tc>
          <w:tcPr>
            <w:tcW w:w="1537" w:type="pct"/>
            <w:gridSpan w:val="2"/>
            <w:tcBorders>
              <w:top w:val="single" w:color="FFFFFF" w:sz="8" w:space="0"/>
              <w:left w:val="single" w:color="FFFFFF" w:sz="8" w:space="0"/>
              <w:bottom w:val="single" w:color="FFFFFF" w:sz="8" w:space="0"/>
              <w:right w:val="single" w:color="FFFFFF" w:sz="8" w:space="0"/>
            </w:tcBorders>
            <w:shd w:val="clear" w:color="auto" w:fill="548DD4"/>
            <w:vAlign w:val="center"/>
          </w:tcPr>
          <w:p w14:paraId="1340B9AD">
            <w:pPr>
              <w:pStyle w:val="30"/>
              <w:bidi w:val="0"/>
              <w:rPr>
                <w:rFonts w:hint="eastAsia"/>
              </w:rPr>
            </w:pPr>
            <w:r>
              <w:rPr>
                <w:rFonts w:hint="eastAsia"/>
                <w:lang w:val="en-US" w:eastAsia="zh-CN"/>
              </w:rPr>
              <w:t>周环比</w:t>
            </w:r>
          </w:p>
        </w:tc>
      </w:tr>
      <w:tr w14:paraId="17BFE3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1819" w:type="pct"/>
            <w:vMerge w:val="continue"/>
            <w:tcBorders>
              <w:left w:val="single" w:color="FFFFFF" w:sz="8" w:space="0"/>
              <w:bottom w:val="single" w:color="FFFFFF" w:sz="8" w:space="0"/>
              <w:right w:val="single" w:color="FFFFFF" w:sz="8" w:space="0"/>
            </w:tcBorders>
            <w:shd w:val="clear" w:color="auto" w:fill="548DD4"/>
            <w:vAlign w:val="center"/>
          </w:tcPr>
          <w:p w14:paraId="4B83E410">
            <w:pPr>
              <w:pStyle w:val="30"/>
              <w:bidi w:val="0"/>
              <w:rPr>
                <w:rFonts w:hint="eastAsia"/>
              </w:rPr>
            </w:pPr>
          </w:p>
        </w:tc>
        <w:tc>
          <w:tcPr>
            <w:tcW w:w="876" w:type="pct"/>
            <w:vMerge w:val="continue"/>
            <w:tcBorders>
              <w:left w:val="single" w:color="FFFFFF" w:sz="8" w:space="0"/>
              <w:bottom w:val="single" w:color="FFFFFF" w:sz="8" w:space="0"/>
              <w:right w:val="single" w:color="FFFFFF" w:sz="8" w:space="0"/>
            </w:tcBorders>
            <w:shd w:val="clear" w:color="auto" w:fill="548DD4"/>
            <w:vAlign w:val="center"/>
          </w:tcPr>
          <w:p w14:paraId="6C4FAC58">
            <w:pPr>
              <w:pStyle w:val="30"/>
              <w:bidi w:val="0"/>
              <w:rPr>
                <w:rFonts w:hint="eastAsia"/>
              </w:rPr>
            </w:pPr>
          </w:p>
        </w:tc>
        <w:tc>
          <w:tcPr>
            <w:tcW w:w="767" w:type="pct"/>
            <w:vMerge w:val="continue"/>
            <w:tcBorders>
              <w:left w:val="single" w:color="FFFFFF" w:sz="8" w:space="0"/>
              <w:bottom w:val="single" w:color="FFFFFF" w:sz="8" w:space="0"/>
              <w:right w:val="single" w:color="FFFFFF" w:sz="8" w:space="0"/>
            </w:tcBorders>
            <w:shd w:val="clear" w:color="auto" w:fill="548DD4"/>
            <w:vAlign w:val="center"/>
          </w:tcPr>
          <w:p w14:paraId="3AF12497">
            <w:pPr>
              <w:pStyle w:val="30"/>
              <w:bidi w:val="0"/>
              <w:rPr>
                <w:rFonts w:hint="eastAsia"/>
              </w:rPr>
            </w:pPr>
          </w:p>
        </w:tc>
        <w:tc>
          <w:tcPr>
            <w:tcW w:w="767" w:type="pct"/>
            <w:tcBorders>
              <w:top w:val="nil"/>
              <w:left w:val="single" w:color="FFFFFF" w:sz="8" w:space="0"/>
              <w:bottom w:val="single" w:color="FFFFFF" w:sz="8" w:space="0"/>
              <w:right w:val="single" w:color="FFFFFF" w:sz="8" w:space="0"/>
            </w:tcBorders>
            <w:shd w:val="clear" w:color="auto" w:fill="548DD4"/>
            <w:vAlign w:val="center"/>
          </w:tcPr>
          <w:p w14:paraId="34A2AF66">
            <w:pPr>
              <w:pStyle w:val="30"/>
              <w:bidi w:val="0"/>
              <w:rPr>
                <w:rFonts w:hint="eastAsia"/>
              </w:rPr>
            </w:pPr>
            <w:r>
              <w:rPr>
                <w:rFonts w:hint="eastAsia"/>
                <w:lang w:val="en-US" w:eastAsia="zh-CN"/>
              </w:rPr>
              <w:t>增减</w:t>
            </w:r>
          </w:p>
        </w:tc>
        <w:tc>
          <w:tcPr>
            <w:tcW w:w="770" w:type="pct"/>
            <w:tcBorders>
              <w:top w:val="single" w:color="FFFFFF" w:sz="8" w:space="0"/>
              <w:left w:val="single" w:color="FFFFFF" w:sz="8" w:space="0"/>
              <w:bottom w:val="single" w:color="FFFFFF" w:sz="8" w:space="0"/>
              <w:right w:val="single" w:color="FFFFFF" w:sz="8" w:space="0"/>
            </w:tcBorders>
            <w:shd w:val="clear" w:color="auto" w:fill="548DD4"/>
            <w:vAlign w:val="center"/>
          </w:tcPr>
          <w:p w14:paraId="1996595E">
            <w:pPr>
              <w:pStyle w:val="30"/>
              <w:bidi w:val="0"/>
              <w:rPr>
                <w:rFonts w:hint="eastAsia"/>
              </w:rPr>
            </w:pPr>
            <w:r>
              <w:rPr>
                <w:rFonts w:hint="eastAsia"/>
                <w:lang w:val="en-US" w:eastAsia="zh-CN"/>
              </w:rPr>
              <w:t>增幅</w:t>
            </w:r>
          </w:p>
        </w:tc>
      </w:tr>
      <w:tr w14:paraId="52A5CA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 w:hRule="atLeast"/>
        </w:trPr>
        <w:tc>
          <w:tcPr>
            <w:tcW w:w="1819" w:type="pct"/>
            <w:tcBorders>
              <w:top w:val="nil"/>
              <w:left w:val="single" w:color="FFFFFF" w:sz="8" w:space="0"/>
              <w:bottom w:val="single" w:color="FFFFFF" w:sz="8" w:space="0"/>
              <w:right w:val="single" w:color="FFFFFF" w:sz="8" w:space="0"/>
            </w:tcBorders>
            <w:shd w:val="clear" w:color="auto" w:fill="DBE5F1"/>
            <w:vAlign w:val="center"/>
          </w:tcPr>
          <w:p w14:paraId="7EDD70FC">
            <w:pPr>
              <w:pStyle w:val="30"/>
              <w:bidi w:val="0"/>
              <w:rPr>
                <w:rFonts w:hint="eastAsia"/>
              </w:rPr>
            </w:pPr>
            <w:r>
              <w:rPr>
                <w:rFonts w:hint="eastAsia"/>
                <w:lang w:val="en-US" w:eastAsia="zh-CN"/>
              </w:rPr>
              <w:t>环渤海动力煤综合价格指数</w:t>
            </w:r>
          </w:p>
        </w:tc>
        <w:tc>
          <w:tcPr>
            <w:tcW w:w="1494" w:type="dxa"/>
            <w:tcBorders>
              <w:top w:val="nil"/>
              <w:left w:val="single" w:color="FFFFFF" w:sz="8" w:space="0"/>
              <w:bottom w:val="single" w:color="FFFFFF" w:sz="8" w:space="0"/>
              <w:right w:val="single" w:color="FFFFFF" w:sz="8" w:space="0"/>
            </w:tcBorders>
            <w:shd w:val="clear" w:color="auto" w:fill="DBE5F1"/>
            <w:vAlign w:val="center"/>
          </w:tcPr>
          <w:p w14:paraId="16313A3F">
            <w:pPr>
              <w:pStyle w:val="30"/>
              <w:bidi w:val="0"/>
              <w:rPr>
                <w:rFonts w:hint="eastAsia"/>
              </w:rPr>
            </w:pPr>
            <w:r>
              <w:rPr>
                <w:rFonts w:hint="eastAsia"/>
                <w:lang w:val="en-US" w:eastAsia="zh-CN"/>
              </w:rPr>
              <w:t>2025/10/29</w:t>
            </w:r>
          </w:p>
        </w:tc>
        <w:tc>
          <w:tcPr>
            <w:tcW w:w="1308" w:type="dxa"/>
            <w:tcBorders>
              <w:top w:val="nil"/>
              <w:left w:val="single" w:color="FFFFFF" w:sz="8" w:space="0"/>
              <w:bottom w:val="single" w:color="FFFFFF" w:sz="8" w:space="0"/>
              <w:right w:val="single" w:color="FFFFFF" w:sz="8" w:space="0"/>
            </w:tcBorders>
            <w:shd w:val="clear" w:color="auto" w:fill="DBE5F1"/>
            <w:vAlign w:val="center"/>
          </w:tcPr>
          <w:p w14:paraId="2ADF9371">
            <w:pPr>
              <w:pStyle w:val="30"/>
              <w:bidi w:val="0"/>
              <w:rPr>
                <w:rFonts w:hint="eastAsia"/>
              </w:rPr>
            </w:pPr>
            <w:r>
              <w:rPr>
                <w:rFonts w:hint="eastAsia"/>
                <w:lang w:val="en-US" w:eastAsia="zh-CN"/>
              </w:rPr>
              <w:t>685</w:t>
            </w:r>
          </w:p>
        </w:tc>
        <w:tc>
          <w:tcPr>
            <w:tcW w:w="1308" w:type="dxa"/>
            <w:tcBorders>
              <w:top w:val="nil"/>
              <w:left w:val="single" w:color="FFFFFF" w:sz="8" w:space="0"/>
              <w:bottom w:val="single" w:color="FFFFFF" w:sz="8" w:space="0"/>
              <w:right w:val="single" w:color="FFFFFF" w:sz="8" w:space="0"/>
            </w:tcBorders>
            <w:shd w:val="clear" w:color="auto" w:fill="DBE5F1"/>
            <w:vAlign w:val="center"/>
          </w:tcPr>
          <w:p w14:paraId="4DB51192">
            <w:pPr>
              <w:pStyle w:val="30"/>
              <w:bidi w:val="0"/>
              <w:rPr>
                <w:rFonts w:hint="eastAsia"/>
              </w:rPr>
            </w:pPr>
            <w:r>
              <w:rPr>
                <w:rFonts w:hint="eastAsia"/>
                <w:lang w:val="en-US" w:eastAsia="zh-CN"/>
              </w:rPr>
              <w:t>1</w:t>
            </w:r>
          </w:p>
        </w:tc>
        <w:tc>
          <w:tcPr>
            <w:tcW w:w="1313" w:type="dxa"/>
            <w:tcBorders>
              <w:top w:val="nil"/>
              <w:left w:val="single" w:color="FFFFFF" w:sz="8" w:space="0"/>
              <w:bottom w:val="single" w:color="FFFFFF" w:sz="8" w:space="0"/>
              <w:right w:val="single" w:color="FFFFFF" w:sz="8" w:space="0"/>
            </w:tcBorders>
            <w:shd w:val="clear" w:color="auto" w:fill="DBE5F1"/>
            <w:vAlign w:val="center"/>
          </w:tcPr>
          <w:p w14:paraId="7F73A0FD">
            <w:pPr>
              <w:pStyle w:val="30"/>
              <w:bidi w:val="0"/>
              <w:rPr>
                <w:rFonts w:hint="eastAsia"/>
              </w:rPr>
            </w:pPr>
            <w:r>
              <w:rPr>
                <w:rFonts w:hint="eastAsia"/>
                <w:lang w:val="en-US" w:eastAsia="zh-CN"/>
              </w:rPr>
              <w:t>0.15%</w:t>
            </w:r>
          </w:p>
        </w:tc>
      </w:tr>
    </w:tbl>
    <w:p w14:paraId="7D4A660A">
      <w:pPr>
        <w:pStyle w:val="28"/>
        <w:numPr>
          <w:ilvl w:val="0"/>
          <w:numId w:val="0"/>
        </w:numPr>
        <w:ind w:leftChars="0"/>
        <w:rPr>
          <w:b/>
          <w:bCs/>
        </w:rPr>
      </w:pPr>
    </w:p>
    <w:p w14:paraId="7CE2E0DB">
      <w:pPr>
        <w:pStyle w:val="28"/>
        <w:numPr>
          <w:ilvl w:val="0"/>
          <w:numId w:val="0"/>
        </w:numPr>
        <w:ind w:leftChars="0"/>
        <w:jc w:val="center"/>
        <w:rPr>
          <w:rFonts w:hint="eastAsia"/>
          <w:szCs w:val="21"/>
        </w:rPr>
      </w:pPr>
      <w:r>
        <w:drawing>
          <wp:inline distT="0" distB="0" distL="114300" distR="114300">
            <wp:extent cx="3720465" cy="2490470"/>
            <wp:effectExtent l="4445" t="4445" r="8890" b="19685"/>
            <wp:docPr id="7"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EDC9A88">
      <w:pPr>
        <w:pStyle w:val="28"/>
        <w:rPr>
          <w:rFonts w:hint="eastAsia"/>
          <w:szCs w:val="21"/>
        </w:rPr>
      </w:pPr>
    </w:p>
    <w:p w14:paraId="6F51BEA3">
      <w:pPr>
        <w:pStyle w:val="28"/>
        <w:rPr>
          <w:rFonts w:hint="eastAsia"/>
          <w:szCs w:val="21"/>
        </w:rPr>
      </w:pPr>
    </w:p>
    <w:p w14:paraId="783C9607">
      <w:pPr>
        <w:pStyle w:val="28"/>
        <w:rPr>
          <w:szCs w:val="21"/>
        </w:rPr>
      </w:pPr>
      <w:r>
        <w:rPr>
          <w:rFonts w:hint="eastAsia"/>
          <w:szCs w:val="21"/>
        </w:rPr>
        <w:t>市场价格方面</w:t>
      </w:r>
    </w:p>
    <w:p w14:paraId="09E3D55E">
      <w:pPr>
        <w:rPr>
          <w:b/>
        </w:rPr>
      </w:pPr>
      <w:bookmarkStart w:id="5" w:name="OLE_LINK4"/>
      <w:bookmarkStart w:id="6" w:name="OLE_LINK3"/>
      <w:r>
        <w:rPr>
          <w:rFonts w:hint="eastAsia"/>
          <w:b/>
        </w:rPr>
        <w:t>国际煤价：</w:t>
      </w:r>
      <w:r>
        <w:rPr>
          <w:b/>
        </w:rPr>
        <w:t xml:space="preserve"> </w:t>
      </w:r>
    </w:p>
    <w:p w14:paraId="09ABA344">
      <w:pPr>
        <w:pStyle w:val="25"/>
        <w:bidi w:val="0"/>
        <w:rPr>
          <w:rFonts w:hint="eastAsia"/>
        </w:rPr>
      </w:pPr>
      <w:r>
        <w:rPr>
          <w:rFonts w:hint="eastAsia"/>
        </w:rPr>
        <w:t>国际煤价涨跌不一。截至10月25日，纽卡斯尔NEWC5500大卡动力煤FOB现货价格74.1美元/吨，周环比上涨1.1美元/吨；ARA6000大卡动力煤现货价95.1美元/吨，周环比下跌3.3美元/吨;理查兹港动力煤FOB现货价69.0美元/吨，周环比上涨0.8美元/吨。</w:t>
      </w:r>
    </w:p>
    <w:tbl>
      <w:tblPr>
        <w:tblStyle w:val="13"/>
        <w:tblpPr w:leftFromText="180" w:rightFromText="180" w:vertAnchor="text" w:horzAnchor="page" w:tblpX="1950" w:tblpY="318"/>
        <w:tblOverlap w:val="never"/>
        <w:tblW w:w="4821" w:type="pct"/>
        <w:tblInd w:w="0" w:type="dxa"/>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blBorders>
        <w:tblLayout w:type="autofit"/>
        <w:tblCellMar>
          <w:top w:w="0" w:type="dxa"/>
          <w:left w:w="108" w:type="dxa"/>
          <w:bottom w:w="0" w:type="dxa"/>
          <w:right w:w="108" w:type="dxa"/>
        </w:tblCellMar>
      </w:tblPr>
      <w:tblGrid>
        <w:gridCol w:w="1942"/>
        <w:gridCol w:w="1549"/>
        <w:gridCol w:w="2261"/>
        <w:gridCol w:w="1303"/>
        <w:gridCol w:w="1168"/>
      </w:tblGrid>
      <w:tr w14:paraId="3C5DDF79">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blBorders>
          <w:tblCellMar>
            <w:top w:w="0" w:type="dxa"/>
            <w:left w:w="108" w:type="dxa"/>
            <w:bottom w:w="0" w:type="dxa"/>
            <w:right w:w="108" w:type="dxa"/>
          </w:tblCellMar>
        </w:tblPrEx>
        <w:trPr>
          <w:trHeight w:val="18" w:hRule="atLeast"/>
        </w:trPr>
        <w:tc>
          <w:tcPr>
            <w:tcW w:w="1180" w:type="pct"/>
            <w:vMerge w:val="restart"/>
            <w:shd w:val="clear" w:color="auto" w:fill="548DD4" w:themeFill="text2" w:themeFillTint="99"/>
            <w:vAlign w:val="center"/>
          </w:tcPr>
          <w:p w14:paraId="018F3330">
            <w:pPr>
              <w:pStyle w:val="30"/>
              <w:bidi w:val="0"/>
            </w:pPr>
            <w:r>
              <w:rPr>
                <w:rFonts w:hint="eastAsia"/>
              </w:rPr>
              <w:t>名称</w:t>
            </w:r>
          </w:p>
        </w:tc>
        <w:tc>
          <w:tcPr>
            <w:tcW w:w="941" w:type="pct"/>
            <w:vMerge w:val="restart"/>
            <w:shd w:val="clear" w:color="auto" w:fill="548DD4" w:themeFill="text2" w:themeFillTint="99"/>
            <w:vAlign w:val="center"/>
          </w:tcPr>
          <w:p w14:paraId="10F21FA8">
            <w:pPr>
              <w:pStyle w:val="30"/>
              <w:bidi w:val="0"/>
            </w:pPr>
            <w:r>
              <w:rPr>
                <w:rFonts w:hint="eastAsia"/>
              </w:rPr>
              <w:t>日期</w:t>
            </w:r>
          </w:p>
        </w:tc>
        <w:tc>
          <w:tcPr>
            <w:tcW w:w="1374" w:type="pct"/>
            <w:vMerge w:val="restart"/>
            <w:shd w:val="clear" w:color="auto" w:fill="548DD4" w:themeFill="text2" w:themeFillTint="99"/>
            <w:vAlign w:val="center"/>
          </w:tcPr>
          <w:p w14:paraId="05C11D77">
            <w:pPr>
              <w:pStyle w:val="30"/>
              <w:bidi w:val="0"/>
            </w:pPr>
            <w:r>
              <w:rPr>
                <w:rFonts w:hint="eastAsia"/>
              </w:rPr>
              <w:t>价格（美元/吨）</w:t>
            </w:r>
          </w:p>
        </w:tc>
        <w:tc>
          <w:tcPr>
            <w:tcW w:w="1502" w:type="pct"/>
            <w:gridSpan w:val="2"/>
            <w:shd w:val="clear" w:color="auto" w:fill="548DD4" w:themeFill="text2" w:themeFillTint="99"/>
            <w:vAlign w:val="center"/>
          </w:tcPr>
          <w:p w14:paraId="35B62D99">
            <w:pPr>
              <w:pStyle w:val="30"/>
              <w:bidi w:val="0"/>
            </w:pPr>
            <w:r>
              <w:rPr>
                <w:rFonts w:hint="eastAsia"/>
              </w:rPr>
              <w:t>周环比</w:t>
            </w:r>
          </w:p>
        </w:tc>
      </w:tr>
      <w:tr w14:paraId="522F26E7">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blBorders>
          <w:tblCellMar>
            <w:top w:w="0" w:type="dxa"/>
            <w:left w:w="108" w:type="dxa"/>
            <w:bottom w:w="0" w:type="dxa"/>
            <w:right w:w="108" w:type="dxa"/>
          </w:tblCellMar>
        </w:tblPrEx>
        <w:trPr>
          <w:trHeight w:val="18" w:hRule="atLeast"/>
        </w:trPr>
        <w:tc>
          <w:tcPr>
            <w:tcW w:w="1180" w:type="pct"/>
            <w:vMerge w:val="continue"/>
            <w:shd w:val="clear" w:color="auto" w:fill="548DD4" w:themeFill="text2" w:themeFillTint="99"/>
          </w:tcPr>
          <w:p w14:paraId="09884302">
            <w:pPr>
              <w:pStyle w:val="30"/>
              <w:bidi w:val="0"/>
            </w:pPr>
          </w:p>
        </w:tc>
        <w:tc>
          <w:tcPr>
            <w:tcW w:w="941" w:type="pct"/>
            <w:vMerge w:val="continue"/>
            <w:shd w:val="clear" w:color="auto" w:fill="548DD4" w:themeFill="text2" w:themeFillTint="99"/>
          </w:tcPr>
          <w:p w14:paraId="499E9A52">
            <w:pPr>
              <w:pStyle w:val="30"/>
              <w:bidi w:val="0"/>
            </w:pPr>
          </w:p>
        </w:tc>
        <w:tc>
          <w:tcPr>
            <w:tcW w:w="1374" w:type="pct"/>
            <w:vMerge w:val="continue"/>
            <w:shd w:val="clear" w:color="auto" w:fill="548DD4" w:themeFill="text2" w:themeFillTint="99"/>
          </w:tcPr>
          <w:p w14:paraId="755D4B6D">
            <w:pPr>
              <w:pStyle w:val="30"/>
              <w:bidi w:val="0"/>
            </w:pPr>
          </w:p>
        </w:tc>
        <w:tc>
          <w:tcPr>
            <w:tcW w:w="792" w:type="pct"/>
            <w:shd w:val="clear" w:color="auto" w:fill="548DD4" w:themeFill="text2" w:themeFillTint="99"/>
            <w:vAlign w:val="center"/>
          </w:tcPr>
          <w:p w14:paraId="690E20CA">
            <w:pPr>
              <w:pStyle w:val="30"/>
              <w:bidi w:val="0"/>
            </w:pPr>
            <w:r>
              <w:rPr>
                <w:rFonts w:hint="eastAsia"/>
              </w:rPr>
              <w:t>增减</w:t>
            </w:r>
          </w:p>
        </w:tc>
        <w:tc>
          <w:tcPr>
            <w:tcW w:w="710" w:type="pct"/>
            <w:shd w:val="clear" w:color="auto" w:fill="548DD4" w:themeFill="text2" w:themeFillTint="99"/>
            <w:vAlign w:val="center"/>
          </w:tcPr>
          <w:p w14:paraId="227835F3">
            <w:pPr>
              <w:pStyle w:val="30"/>
              <w:bidi w:val="0"/>
            </w:pPr>
            <w:r>
              <w:rPr>
                <w:rFonts w:hint="eastAsia"/>
              </w:rPr>
              <w:t>增幅</w:t>
            </w:r>
          </w:p>
        </w:tc>
      </w:tr>
      <w:tr w14:paraId="78BDB6E2">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blBorders>
          <w:tblCellMar>
            <w:top w:w="0" w:type="dxa"/>
            <w:left w:w="108" w:type="dxa"/>
            <w:bottom w:w="0" w:type="dxa"/>
            <w:right w:w="108" w:type="dxa"/>
          </w:tblCellMar>
        </w:tblPrEx>
        <w:trPr>
          <w:trHeight w:val="18" w:hRule="atLeast"/>
        </w:trPr>
        <w:tc>
          <w:tcPr>
            <w:tcW w:w="1180" w:type="pct"/>
            <w:shd w:val="clear" w:color="auto" w:fill="95B3D7" w:themeFill="accent1" w:themeFillTint="99"/>
            <w:vAlign w:val="center"/>
          </w:tcPr>
          <w:p w14:paraId="589EF014">
            <w:pPr>
              <w:pStyle w:val="30"/>
              <w:bidi w:val="0"/>
            </w:pPr>
            <w:r>
              <w:rPr>
                <w:rFonts w:hint="eastAsia"/>
              </w:rPr>
              <w:t>纽卡斯尔港</w:t>
            </w:r>
          </w:p>
        </w:tc>
        <w:tc>
          <w:tcPr>
            <w:tcW w:w="1549" w:type="dxa"/>
            <w:shd w:val="clear" w:color="auto" w:fill="95B3D7" w:themeFill="accent1" w:themeFillTint="99"/>
            <w:vAlign w:val="center"/>
          </w:tcPr>
          <w:p w14:paraId="12141407">
            <w:pPr>
              <w:pStyle w:val="30"/>
              <w:bidi w:val="0"/>
              <w:rPr>
                <w:rFonts w:hint="default"/>
                <w:lang w:val="en-US"/>
              </w:rPr>
            </w:pPr>
            <w:r>
              <w:rPr>
                <w:rFonts w:hint="eastAsia"/>
                <w:lang w:val="en-US" w:eastAsia="zh-CN"/>
              </w:rPr>
              <w:t>2025/10/25</w:t>
            </w:r>
          </w:p>
        </w:tc>
        <w:tc>
          <w:tcPr>
            <w:tcW w:w="2261" w:type="dxa"/>
            <w:shd w:val="clear" w:color="auto" w:fill="95B3D7" w:themeFill="accent1" w:themeFillTint="99"/>
            <w:vAlign w:val="center"/>
          </w:tcPr>
          <w:p w14:paraId="2BB20B16">
            <w:pPr>
              <w:pStyle w:val="30"/>
              <w:bidi w:val="0"/>
            </w:pPr>
            <w:r>
              <w:rPr>
                <w:rFonts w:hint="eastAsia"/>
                <w:lang w:val="en-US" w:eastAsia="zh-CN"/>
              </w:rPr>
              <w:t>74.1</w:t>
            </w:r>
          </w:p>
        </w:tc>
        <w:tc>
          <w:tcPr>
            <w:tcW w:w="1303" w:type="dxa"/>
            <w:shd w:val="clear" w:color="auto" w:fill="95B3D7" w:themeFill="accent1" w:themeFillTint="99"/>
            <w:vAlign w:val="center"/>
          </w:tcPr>
          <w:p w14:paraId="746B42F9">
            <w:pPr>
              <w:pStyle w:val="30"/>
              <w:bidi w:val="0"/>
            </w:pPr>
            <w:r>
              <w:rPr>
                <w:rFonts w:hint="eastAsia"/>
                <w:lang w:val="en-US" w:eastAsia="zh-CN"/>
              </w:rPr>
              <w:t>-0.1</w:t>
            </w:r>
          </w:p>
        </w:tc>
        <w:tc>
          <w:tcPr>
            <w:tcW w:w="1168" w:type="dxa"/>
            <w:shd w:val="clear" w:color="auto" w:fill="95B3D7" w:themeFill="accent1" w:themeFillTint="99"/>
            <w:vAlign w:val="center"/>
          </w:tcPr>
          <w:p w14:paraId="0055849D">
            <w:pPr>
              <w:pStyle w:val="30"/>
              <w:bidi w:val="0"/>
            </w:pPr>
            <w:r>
              <w:rPr>
                <w:rFonts w:hint="eastAsia"/>
                <w:lang w:val="en-US" w:eastAsia="zh-CN"/>
              </w:rPr>
              <w:t>-0.13%</w:t>
            </w:r>
          </w:p>
        </w:tc>
      </w:tr>
      <w:tr w14:paraId="76EB443A">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blBorders>
          <w:tblCellMar>
            <w:top w:w="0" w:type="dxa"/>
            <w:left w:w="108" w:type="dxa"/>
            <w:bottom w:w="0" w:type="dxa"/>
            <w:right w:w="108" w:type="dxa"/>
          </w:tblCellMar>
        </w:tblPrEx>
        <w:trPr>
          <w:trHeight w:val="18" w:hRule="atLeast"/>
        </w:trPr>
        <w:tc>
          <w:tcPr>
            <w:tcW w:w="1180" w:type="pct"/>
            <w:shd w:val="clear" w:color="auto" w:fill="DBE5F1" w:themeFill="accent1" w:themeFillTint="33"/>
            <w:vAlign w:val="center"/>
          </w:tcPr>
          <w:p w14:paraId="72C8BB79">
            <w:pPr>
              <w:pStyle w:val="30"/>
              <w:bidi w:val="0"/>
            </w:pPr>
            <w:r>
              <w:rPr>
                <w:rFonts w:hint="eastAsia"/>
              </w:rPr>
              <w:t>欧洲ARA三港</w:t>
            </w:r>
          </w:p>
        </w:tc>
        <w:tc>
          <w:tcPr>
            <w:tcW w:w="1549" w:type="dxa"/>
            <w:shd w:val="clear" w:color="auto" w:fill="DBE5F1" w:themeFill="accent1" w:themeFillTint="33"/>
            <w:vAlign w:val="center"/>
          </w:tcPr>
          <w:p w14:paraId="0AAA039A">
            <w:pPr>
              <w:pStyle w:val="30"/>
              <w:bidi w:val="0"/>
              <w:rPr>
                <w:rFonts w:hint="default"/>
                <w:lang w:val="en-US"/>
              </w:rPr>
            </w:pPr>
            <w:r>
              <w:rPr>
                <w:rFonts w:hint="eastAsia"/>
                <w:lang w:val="en-US" w:eastAsia="zh-CN"/>
              </w:rPr>
              <w:t>2025/10/25</w:t>
            </w:r>
          </w:p>
        </w:tc>
        <w:tc>
          <w:tcPr>
            <w:tcW w:w="2261" w:type="dxa"/>
            <w:shd w:val="clear" w:color="auto" w:fill="DBE5F1" w:themeFill="accent1" w:themeFillTint="33"/>
            <w:vAlign w:val="center"/>
          </w:tcPr>
          <w:p w14:paraId="1975EF8F">
            <w:pPr>
              <w:pStyle w:val="30"/>
              <w:bidi w:val="0"/>
            </w:pPr>
            <w:r>
              <w:rPr>
                <w:rFonts w:hint="eastAsia"/>
                <w:lang w:val="en-US" w:eastAsia="zh-CN"/>
              </w:rPr>
              <w:t>95.1</w:t>
            </w:r>
          </w:p>
        </w:tc>
        <w:tc>
          <w:tcPr>
            <w:tcW w:w="1303" w:type="dxa"/>
            <w:shd w:val="clear" w:color="auto" w:fill="DBE5F1" w:themeFill="accent1" w:themeFillTint="33"/>
            <w:vAlign w:val="center"/>
          </w:tcPr>
          <w:p w14:paraId="075F6E35">
            <w:pPr>
              <w:pStyle w:val="30"/>
              <w:bidi w:val="0"/>
            </w:pPr>
            <w:r>
              <w:rPr>
                <w:rFonts w:hint="eastAsia"/>
                <w:lang w:val="en-US" w:eastAsia="zh-CN"/>
              </w:rPr>
              <w:t>-3.1</w:t>
            </w:r>
          </w:p>
        </w:tc>
        <w:tc>
          <w:tcPr>
            <w:tcW w:w="1168" w:type="dxa"/>
            <w:shd w:val="clear" w:color="auto" w:fill="DBE5F1" w:themeFill="accent1" w:themeFillTint="33"/>
            <w:vAlign w:val="center"/>
          </w:tcPr>
          <w:p w14:paraId="003087C9">
            <w:pPr>
              <w:pStyle w:val="30"/>
              <w:bidi w:val="0"/>
            </w:pPr>
            <w:r>
              <w:rPr>
                <w:rFonts w:hint="eastAsia"/>
                <w:lang w:val="en-US" w:eastAsia="zh-CN"/>
              </w:rPr>
              <w:t>-3.16%</w:t>
            </w:r>
          </w:p>
        </w:tc>
      </w:tr>
      <w:tr w14:paraId="3D81F1BF">
        <w:tblPrEx>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blBorders>
          <w:tblCellMar>
            <w:top w:w="0" w:type="dxa"/>
            <w:left w:w="108" w:type="dxa"/>
            <w:bottom w:w="0" w:type="dxa"/>
            <w:right w:w="108" w:type="dxa"/>
          </w:tblCellMar>
        </w:tblPrEx>
        <w:trPr>
          <w:trHeight w:val="18" w:hRule="atLeast"/>
        </w:trPr>
        <w:tc>
          <w:tcPr>
            <w:tcW w:w="1180" w:type="pct"/>
            <w:shd w:val="clear" w:color="auto" w:fill="95B3D7" w:themeFill="accent1" w:themeFillTint="99"/>
            <w:vAlign w:val="center"/>
          </w:tcPr>
          <w:p w14:paraId="3B56BFC6">
            <w:pPr>
              <w:pStyle w:val="30"/>
              <w:bidi w:val="0"/>
            </w:pPr>
            <w:r>
              <w:rPr>
                <w:rFonts w:hint="eastAsia"/>
              </w:rPr>
              <w:t>南非RB</w:t>
            </w:r>
          </w:p>
        </w:tc>
        <w:tc>
          <w:tcPr>
            <w:tcW w:w="1549" w:type="dxa"/>
            <w:shd w:val="clear" w:color="auto" w:fill="95B3D7" w:themeFill="accent1" w:themeFillTint="99"/>
            <w:vAlign w:val="center"/>
          </w:tcPr>
          <w:p w14:paraId="4DA8A115">
            <w:pPr>
              <w:pStyle w:val="30"/>
              <w:bidi w:val="0"/>
              <w:rPr>
                <w:rFonts w:hint="default"/>
                <w:lang w:val="en-US"/>
              </w:rPr>
            </w:pPr>
            <w:r>
              <w:rPr>
                <w:rFonts w:hint="eastAsia"/>
                <w:lang w:val="en-US" w:eastAsia="zh-CN"/>
              </w:rPr>
              <w:t>2025/10/25</w:t>
            </w:r>
          </w:p>
        </w:tc>
        <w:tc>
          <w:tcPr>
            <w:tcW w:w="2261" w:type="dxa"/>
            <w:shd w:val="clear" w:color="auto" w:fill="95B3D7" w:themeFill="accent1" w:themeFillTint="99"/>
            <w:vAlign w:val="center"/>
          </w:tcPr>
          <w:p w14:paraId="5DDDFA7D">
            <w:pPr>
              <w:pStyle w:val="30"/>
              <w:bidi w:val="0"/>
            </w:pPr>
            <w:r>
              <w:rPr>
                <w:rFonts w:hint="eastAsia"/>
                <w:lang w:val="en-US" w:eastAsia="zh-CN"/>
              </w:rPr>
              <w:t>69</w:t>
            </w:r>
          </w:p>
        </w:tc>
        <w:tc>
          <w:tcPr>
            <w:tcW w:w="1303" w:type="dxa"/>
            <w:shd w:val="clear" w:color="auto" w:fill="95B3D7" w:themeFill="accent1" w:themeFillTint="99"/>
            <w:vAlign w:val="center"/>
          </w:tcPr>
          <w:p w14:paraId="3BF3D7B6">
            <w:pPr>
              <w:pStyle w:val="30"/>
              <w:bidi w:val="0"/>
            </w:pPr>
            <w:r>
              <w:rPr>
                <w:rFonts w:hint="eastAsia"/>
                <w:lang w:val="en-US" w:eastAsia="zh-CN"/>
              </w:rPr>
              <w:t>-0.3</w:t>
            </w:r>
          </w:p>
        </w:tc>
        <w:tc>
          <w:tcPr>
            <w:tcW w:w="1168" w:type="dxa"/>
            <w:shd w:val="clear" w:color="auto" w:fill="95B3D7" w:themeFill="accent1" w:themeFillTint="99"/>
            <w:vAlign w:val="center"/>
          </w:tcPr>
          <w:p w14:paraId="28333039">
            <w:pPr>
              <w:pStyle w:val="30"/>
              <w:bidi w:val="0"/>
            </w:pPr>
            <w:r>
              <w:rPr>
                <w:rFonts w:hint="eastAsia"/>
                <w:lang w:val="en-US" w:eastAsia="zh-CN"/>
              </w:rPr>
              <w:t>-0.43%</w:t>
            </w:r>
          </w:p>
        </w:tc>
      </w:tr>
      <w:bookmarkEnd w:id="5"/>
      <w:bookmarkEnd w:id="6"/>
    </w:tbl>
    <w:p w14:paraId="301A1FFE">
      <w:pPr>
        <w:spacing w:line="360" w:lineRule="auto"/>
        <w:jc w:val="center"/>
        <w:rPr>
          <w:b w:val="0"/>
          <w:bCs/>
          <w:color w:val="000000"/>
          <w:szCs w:val="21"/>
          <w:shd w:val="clear" w:color="auto" w:fill="FFFFFF"/>
        </w:rPr>
      </w:pPr>
      <w:r>
        <w:drawing>
          <wp:inline distT="0" distB="0" distL="114300" distR="114300">
            <wp:extent cx="4427220" cy="2322830"/>
            <wp:effectExtent l="4445" t="4445" r="18415" b="19685"/>
            <wp:docPr id="9"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6DE18431">
      <w:pPr>
        <w:spacing w:line="360" w:lineRule="auto"/>
        <w:jc w:val="center"/>
        <w:rPr>
          <w:b/>
          <w:color w:val="000000"/>
          <w:szCs w:val="21"/>
          <w:shd w:val="clear" w:color="auto" w:fill="FFFFFF"/>
        </w:rPr>
      </w:pPr>
      <w:r>
        <w:rPr>
          <w:rFonts w:ascii="微软雅黑" w:hAnsi="微软雅黑" w:eastAsia="微软雅黑" w:cs="宋体"/>
          <w:b/>
          <w:kern w:val="0"/>
          <w:sz w:val="28"/>
          <w:szCs w:val="28"/>
        </w:rP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238125</wp:posOffset>
                </wp:positionV>
                <wp:extent cx="1285875" cy="400050"/>
                <wp:effectExtent l="0" t="0" r="28575" b="19050"/>
                <wp:wrapNone/>
                <wp:docPr id="3" name="矩形: 剪去单角 3"/>
                <wp:cNvGraphicFramePr/>
                <a:graphic xmlns:a="http://schemas.openxmlformats.org/drawingml/2006/main">
                  <a:graphicData uri="http://schemas.microsoft.com/office/word/2010/wordprocessingShape">
                    <wps:wsp>
                      <wps:cNvSpPr/>
                      <wps:spPr>
                        <a:xfrm>
                          <a:off x="0" y="0"/>
                          <a:ext cx="1285875" cy="400050"/>
                        </a:xfrm>
                        <a:prstGeom prst="snip1Rect">
                          <a:avLst/>
                        </a:prstGeom>
                      </wps:spPr>
                      <wps:style>
                        <a:lnRef idx="2">
                          <a:schemeClr val="accent1"/>
                        </a:lnRef>
                        <a:fillRef idx="1">
                          <a:schemeClr val="lt1"/>
                        </a:fillRef>
                        <a:effectRef idx="0">
                          <a:schemeClr val="accent1"/>
                        </a:effectRef>
                        <a:fontRef idx="minor">
                          <a:schemeClr val="dk1"/>
                        </a:fontRef>
                      </wps:style>
                      <wps:txbx>
                        <w:txbxContent>
                          <w:p w14:paraId="78971B50">
                            <w:pPr>
                              <w:jc w:val="center"/>
                              <w:rPr>
                                <w:rFonts w:ascii="黑体" w:hAnsi="黑体" w:eastAsia="黑体"/>
                                <w:sz w:val="24"/>
                              </w:rPr>
                            </w:pPr>
                            <w:r>
                              <w:rPr>
                                <w:rFonts w:hint="eastAsia" w:ascii="黑体" w:hAnsi="黑体" w:eastAsia="黑体"/>
                                <w:sz w:val="24"/>
                              </w:rPr>
                              <w:t>一周综述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矩形: 剪去单角 3" o:spid="_x0000_s1026" style="position:absolute;left:0pt;margin-left:0.1pt;margin-top:18.75pt;height:31.5pt;width:101.25pt;z-index:251663360;v-text-anchor:middle;mso-width-relative:page;mso-height-relative:page;" fillcolor="#FFFFFF [3201]" filled="t" stroked="t" coordsize="1285875,400050" o:gfxdata="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C8Kh0f1QAAAAcBAAAPAAAA&#10;AAAAAAEAIAAAACIAAABkcnMvZG93bnJldi54bWxQSwECFAAUAAAACACHTuJAN4oQSooCAAD7BAAA&#10;DgAAAAAAAAABACAAAAAkAQAAZHJzL2Uyb0RvYy54bWxQSwUGAAAAAAYABgBZAQAAIAYAAAAA&#10;" path="m0,0l1219198,0,1285875,66676,1285875,400050,0,400050xe">
                <v:path textboxrect="0,0,1285875,400050" o:connectlocs="1285875,200025;642937,400050;0,200025;642937,0" o:connectangles="0,82,164,247"/>
                <v:fill on="t" focussize="0,0"/>
                <v:stroke weight="2pt" color="#4F81BD [3204]" joinstyle="round"/>
                <v:imagedata o:title=""/>
                <o:lock v:ext="edit" aspectratio="f"/>
                <v:textbox>
                  <w:txbxContent>
                    <w:p w14:paraId="78971B50">
                      <w:pPr>
                        <w:jc w:val="center"/>
                        <w:rPr>
                          <w:rFonts w:ascii="黑体" w:hAnsi="黑体" w:eastAsia="黑体"/>
                          <w:sz w:val="24"/>
                        </w:rPr>
                      </w:pPr>
                      <w:r>
                        <w:rPr>
                          <w:rFonts w:hint="eastAsia" w:ascii="黑体" w:hAnsi="黑体" w:eastAsia="黑体"/>
                          <w:sz w:val="24"/>
                        </w:rPr>
                        <w:t>一周综述</w:t>
                      </w:r>
                    </w:p>
                  </w:txbxContent>
                </v:textbox>
              </v:shape>
            </w:pict>
          </mc:Fallback>
        </mc:AlternateContent>
      </w:r>
    </w:p>
    <w:p w14:paraId="79731A6C">
      <w:pPr>
        <w:widowControl/>
        <w:spacing w:line="360" w:lineRule="auto"/>
        <w:ind w:right="-1191" w:rightChars="-567"/>
        <w:jc w:val="left"/>
        <w:rPr>
          <w:rFonts w:ascii="微软雅黑" w:hAnsi="微软雅黑" w:eastAsia="微软雅黑" w:cs="宋体"/>
          <w:b/>
          <w:kern w:val="0"/>
          <w:sz w:val="28"/>
          <w:szCs w:val="28"/>
        </w:rPr>
      </w:pPr>
      <w:r>
        <w:rPr>
          <w:sz w:val="28"/>
        </w:rPr>
        <mc:AlternateContent>
          <mc:Choice Requires="wpg">
            <w:drawing>
              <wp:anchor distT="0" distB="0" distL="114300" distR="114300" simplePos="0" relativeHeight="251664384" behindDoc="0" locked="0" layoutInCell="1" allowOverlap="1">
                <wp:simplePos x="0" y="0"/>
                <wp:positionH relativeFrom="margin">
                  <wp:posOffset>40005</wp:posOffset>
                </wp:positionH>
                <wp:positionV relativeFrom="paragraph">
                  <wp:posOffset>330835</wp:posOffset>
                </wp:positionV>
                <wp:extent cx="5175250" cy="3251200"/>
                <wp:effectExtent l="12700" t="12700" r="19050" b="12700"/>
                <wp:wrapNone/>
                <wp:docPr id="16" name="组合 16"/>
                <wp:cNvGraphicFramePr/>
                <a:graphic xmlns:a="http://schemas.openxmlformats.org/drawingml/2006/main">
                  <a:graphicData uri="http://schemas.microsoft.com/office/word/2010/wordprocessingGroup">
                    <wpg:wgp>
                      <wpg:cNvGrpSpPr/>
                      <wpg:grpSpPr>
                        <a:xfrm>
                          <a:off x="0" y="0"/>
                          <a:ext cx="5175250" cy="3251200"/>
                          <a:chOff x="5634" y="26984"/>
                          <a:chExt cx="8235" cy="6483"/>
                        </a:xfrm>
                      </wpg:grpSpPr>
                      <wps:wsp>
                        <wps:cNvPr id="5" name="矩形: 单圆角 5"/>
                        <wps:cNvSpPr/>
                        <wps:spPr>
                          <a:xfrm>
                            <a:off x="5634" y="26997"/>
                            <a:ext cx="8235" cy="6470"/>
                          </a:xfrm>
                          <a:prstGeom prst="round1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5" name="矩形: 单圆角 15"/>
                        <wps:cNvSpPr/>
                        <wps:spPr>
                          <a:xfrm>
                            <a:off x="6063" y="26984"/>
                            <a:ext cx="7672" cy="6390"/>
                          </a:xfrm>
                          <a:prstGeom prst="round1Rect">
                            <a:avLst/>
                          </a:prstGeom>
                        </wps:spPr>
                        <wps:style>
                          <a:lnRef idx="2">
                            <a:schemeClr val="accent1"/>
                          </a:lnRef>
                          <a:fillRef idx="1">
                            <a:schemeClr val="lt1"/>
                          </a:fillRef>
                          <a:effectRef idx="0">
                            <a:schemeClr val="accent1"/>
                          </a:effectRef>
                          <a:fontRef idx="minor">
                            <a:schemeClr val="dk1"/>
                          </a:fontRef>
                        </wps:style>
                        <wps:txbx>
                          <w:txbxContent>
                            <w:p w14:paraId="1B633BD3">
                              <w:pPr>
                                <w:pStyle w:val="25"/>
                                <w:bidi w:val="0"/>
                                <w:rPr>
                                  <w:rFonts w:hint="eastAsia"/>
                                </w:rPr>
                              </w:pPr>
                              <w:r>
                                <w:rPr>
                                  <w:rFonts w:hint="eastAsia"/>
                                  <w:b/>
                                  <w:bCs/>
                                </w:rPr>
                                <w:t>动力煤：</w:t>
                              </w:r>
                              <w:r>
                                <w:rPr>
                                  <w:rFonts w:hint="eastAsia"/>
                                </w:rPr>
                                <w:t>价格方面，近日秦港价格周环比增加，产地大同价格周环比上涨。供需方面，截至10月24日，样本动力煤矿井产能利用率为91%，周环比下降0.7个百分点；沿海八省日耗周环比下降，内陆十七省日耗周环比增加。</w:t>
                              </w:r>
                            </w:p>
                            <w:p w14:paraId="591B02AC">
                              <w:pPr>
                                <w:pStyle w:val="25"/>
                                <w:bidi w:val="0"/>
                                <w:rPr>
                                  <w:rFonts w:hint="eastAsia"/>
                                </w:rPr>
                              </w:pPr>
                            </w:p>
                            <w:p w14:paraId="4B29291B">
                              <w:pPr>
                                <w:pStyle w:val="25"/>
                                <w:bidi w:val="0"/>
                                <w:rPr>
                                  <w:rFonts w:hint="eastAsia"/>
                                  <w:lang w:val="en-US" w:eastAsia="zh-CN"/>
                                </w:rPr>
                              </w:pPr>
                              <w:r>
                                <w:rPr>
                                  <w:rFonts w:hint="eastAsia"/>
                                  <w:b/>
                                  <w:bCs/>
                                </w:rPr>
                                <w:t>炼焦煤：</w:t>
                              </w:r>
                              <w:r>
                                <w:rPr>
                                  <w:rFonts w:hint="eastAsia"/>
                                </w:rPr>
                                <w:t>价格方面，近日京唐港价格周环比增加，产地临汾价格周环比增加。供需方面，样本炼焦煤矿井开工率为85.06%，周环比下降2.3个百分点；化工耗煤周环比下降，钢铁高炉开工率周环比增加。</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3.15pt;margin-top:26.05pt;height:256pt;width:407.5pt;mso-position-horizontal-relative:margin;z-index:251664384;mso-width-relative:page;mso-height-relative:page;" coordorigin="5634,26984" coordsize="8235,6483" o:gfxdata="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">
                <o:lock v:ext="edit" aspectratio="f"/>
                <v:shape id="矩形: 单圆角 5" o:spid="_x0000_s1026" style="position:absolute;left:5634;top:26997;height:6470;width:8235;v-text-anchor:middle;" fillcolor="#4F81BD [3204]" filled="t" stroked="t" coordsize="8235,6470" o:gfxdata="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1MV/68AAAA&#10;2gAAAA8AAAAAAAAAAQAgAAAAIgAAAGRycy9kb3ducmV2LnhtbFBLAQIUABQAAAAIAIdO4kAzLwWe&#10;OwAAADkAAAAQAAAAAAAAAAEAIAAAAAsBAABkcnMvc2hhcGV4bWwueG1sUEsFBgAAAAAGAAYAWwEA&#10;ALUDAAAAAA==&#10;" path="m0,0l7156,0c7751,0,8234,483,8234,1078l8235,6470,0,6470xe">
                  <v:path o:connectlocs="4117,0;0,3235;4117,6470;8235,3235" o:connectangles="247,164,82,0"/>
                  <v:fill on="t" focussize="0,0"/>
                  <v:stroke weight="2pt" color="#385D8A [3204]" joinstyle="round"/>
                  <v:imagedata o:title=""/>
                  <o:lock v:ext="edit" aspectratio="f"/>
                </v:shape>
                <v:shape id="矩形: 单圆角 15" o:spid="_x0000_s1026" style="position:absolute;left:6063;top:26984;height:6390;width:7672;v-text-anchor:middle;" fillcolor="#FFFFFF [3201]" filled="t" stroked="t" coordsize="7672,6390" o:gfxdata="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QAqtrsAAADb&#10;AAAADwAAAAAAAAABACAAAAAiAAAAZHJzL2Rvd25yZXYueG1sUEsBAhQAFAAAAAgAh07iQDMvBZ47&#10;AAAAOQAAABAAAAAAAAAAAQAgAAAACgEAAGRycy9zaGFwZXhtbC54bWxQSwUGAAAAAAYABgBbAQAA&#10;tAMAAAAA&#10;" path="m0,0l6606,0c7194,0,7671,477,7671,1065l7672,6390,0,6390xe">
                  <v:path textboxrect="0,0,7672,6390" o:connectlocs="3836,0;0,3195;3836,6390;7672,3195" o:connectangles="247,164,82,0"/>
                  <v:fill on="t" focussize="0,0"/>
                  <v:stroke weight="2pt" color="#4F81BD [3204]" joinstyle="round"/>
                  <v:imagedata o:title=""/>
                  <o:lock v:ext="edit" aspectratio="f"/>
                  <v:textbox>
                    <w:txbxContent>
                      <w:p w14:paraId="1B633BD3">
                        <w:pPr>
                          <w:pStyle w:val="25"/>
                          <w:bidi w:val="0"/>
                          <w:rPr>
                            <w:rFonts w:hint="eastAsia"/>
                          </w:rPr>
                        </w:pPr>
                        <w:r>
                          <w:rPr>
                            <w:rFonts w:hint="eastAsia"/>
                            <w:b/>
                            <w:bCs/>
                          </w:rPr>
                          <w:t>动力煤：</w:t>
                        </w:r>
                        <w:r>
                          <w:rPr>
                            <w:rFonts w:hint="eastAsia"/>
                          </w:rPr>
                          <w:t>价格方面，近日秦港价格周环比增加，产地大同价格周环比上涨。供需方面，截至10月24日，样本动力煤矿井产能利用率为91%，周环比下降0.7个百分点；沿海八省日耗周环比下降，内陆十七省日耗周环比增加。</w:t>
                        </w:r>
                      </w:p>
                      <w:p w14:paraId="591B02AC">
                        <w:pPr>
                          <w:pStyle w:val="25"/>
                          <w:bidi w:val="0"/>
                          <w:rPr>
                            <w:rFonts w:hint="eastAsia"/>
                          </w:rPr>
                        </w:pPr>
                      </w:p>
                      <w:p w14:paraId="4B29291B">
                        <w:pPr>
                          <w:pStyle w:val="25"/>
                          <w:bidi w:val="0"/>
                          <w:rPr>
                            <w:rFonts w:hint="eastAsia"/>
                            <w:lang w:val="en-US" w:eastAsia="zh-CN"/>
                          </w:rPr>
                        </w:pPr>
                        <w:r>
                          <w:rPr>
                            <w:rFonts w:hint="eastAsia"/>
                            <w:b/>
                            <w:bCs/>
                          </w:rPr>
                          <w:t>炼焦煤：</w:t>
                        </w:r>
                        <w:r>
                          <w:rPr>
                            <w:rFonts w:hint="eastAsia"/>
                          </w:rPr>
                          <w:t>价格方面，近日京唐港价格周环比增加，产地临汾价格周环比增加。供需方面，样本炼焦煤矿井开工率为85.06%，周环比下降2.3个百分点；化工耗煤周环比下降，钢铁高炉开工率周环比增加。</w:t>
                        </w:r>
                      </w:p>
                    </w:txbxContent>
                  </v:textbox>
                </v:shape>
              </v:group>
            </w:pict>
          </mc:Fallback>
        </mc:AlternateContent>
      </w:r>
    </w:p>
    <w:p w14:paraId="6081D240">
      <w:pPr>
        <w:widowControl/>
        <w:spacing w:line="360" w:lineRule="auto"/>
        <w:ind w:right="-1191" w:rightChars="-567"/>
        <w:jc w:val="left"/>
        <w:rPr>
          <w:rStyle w:val="23"/>
        </w:rPr>
      </w:pPr>
    </w:p>
    <w:p w14:paraId="4779026E">
      <w:pPr>
        <w:widowControl/>
        <w:spacing w:line="360" w:lineRule="auto"/>
        <w:ind w:right="-1191" w:rightChars="-567"/>
        <w:jc w:val="left"/>
        <w:rPr>
          <w:rFonts w:ascii="微软雅黑" w:hAnsi="微软雅黑" w:eastAsia="微软雅黑" w:cs="宋体"/>
          <w:b/>
          <w:kern w:val="0"/>
          <w:sz w:val="28"/>
          <w:szCs w:val="28"/>
        </w:rPr>
      </w:pPr>
    </w:p>
    <w:p w14:paraId="3E4D23E5">
      <w:pPr>
        <w:widowControl/>
        <w:spacing w:line="360" w:lineRule="auto"/>
        <w:ind w:right="-1191" w:rightChars="-567"/>
        <w:jc w:val="left"/>
        <w:rPr>
          <w:rFonts w:ascii="微软雅黑" w:hAnsi="微软雅黑" w:eastAsia="微软雅黑" w:cs="宋体"/>
          <w:b/>
          <w:kern w:val="0"/>
          <w:sz w:val="28"/>
          <w:szCs w:val="28"/>
        </w:rPr>
      </w:pPr>
    </w:p>
    <w:p w14:paraId="54F96F13">
      <w:pPr>
        <w:widowControl/>
        <w:spacing w:line="360" w:lineRule="auto"/>
        <w:ind w:right="-1191" w:rightChars="-567"/>
        <w:jc w:val="left"/>
        <w:rPr>
          <w:rFonts w:ascii="微软雅黑" w:hAnsi="微软雅黑" w:eastAsia="微软雅黑" w:cs="宋体"/>
          <w:b/>
          <w:kern w:val="0"/>
          <w:sz w:val="28"/>
          <w:szCs w:val="28"/>
        </w:rPr>
      </w:pPr>
    </w:p>
    <w:p w14:paraId="4517096E">
      <w:pPr>
        <w:widowControl/>
        <w:spacing w:line="360" w:lineRule="auto"/>
        <w:ind w:right="-1191" w:rightChars="-567"/>
        <w:jc w:val="left"/>
        <w:rPr>
          <w:rFonts w:ascii="微软雅黑" w:hAnsi="微软雅黑" w:eastAsia="微软雅黑" w:cs="宋体"/>
          <w:b/>
          <w:kern w:val="0"/>
          <w:sz w:val="28"/>
          <w:szCs w:val="28"/>
        </w:rPr>
      </w:pPr>
    </w:p>
    <w:p w14:paraId="73250F27">
      <w:pPr>
        <w:widowControl/>
        <w:spacing w:line="360" w:lineRule="auto"/>
        <w:ind w:right="-1191" w:rightChars="-567"/>
        <w:jc w:val="left"/>
        <w:rPr>
          <w:rFonts w:ascii="微软雅黑" w:hAnsi="微软雅黑" w:eastAsia="微软雅黑" w:cs="宋体"/>
          <w:b/>
          <w:kern w:val="0"/>
          <w:sz w:val="28"/>
          <w:szCs w:val="28"/>
        </w:rPr>
      </w:pPr>
    </w:p>
    <w:p w14:paraId="4385CA06">
      <w:pPr>
        <w:widowControl/>
        <w:spacing w:line="360" w:lineRule="auto"/>
        <w:ind w:right="-1191" w:rightChars="-567"/>
        <w:jc w:val="left"/>
        <w:rPr>
          <w:rFonts w:ascii="微软雅黑" w:hAnsi="微软雅黑" w:eastAsia="微软雅黑" w:cs="宋体"/>
          <w:b/>
          <w:kern w:val="0"/>
          <w:sz w:val="28"/>
          <w:szCs w:val="28"/>
        </w:rPr>
      </w:pPr>
    </w:p>
    <w:p w14:paraId="15DCC348">
      <w:pPr>
        <w:rPr>
          <w:rFonts w:hint="eastAsia" w:ascii="微软雅黑" w:hAnsi="微软雅黑" w:eastAsia="微软雅黑" w:cs="宋体"/>
          <w:b/>
          <w:kern w:val="0"/>
          <w:sz w:val="28"/>
          <w:szCs w:val="28"/>
        </w:rPr>
      </w:pPr>
    </w:p>
    <w:p w14:paraId="45D8A54E">
      <w:pPr>
        <w:widowControl/>
        <w:spacing w:line="360" w:lineRule="auto"/>
        <w:ind w:right="-1191" w:rightChars="-567"/>
        <w:jc w:val="left"/>
        <w:rPr>
          <w:rFonts w:hint="eastAsia" w:ascii="微软雅黑" w:hAnsi="微软雅黑" w:eastAsia="微软雅黑" w:cs="宋体"/>
          <w:b/>
          <w:kern w:val="0"/>
          <w:sz w:val="28"/>
          <w:szCs w:val="28"/>
        </w:rPr>
      </w:pPr>
    </w:p>
    <w:p w14:paraId="7E49763A">
      <w:pPr>
        <w:widowControl/>
        <w:spacing w:line="360" w:lineRule="auto"/>
        <w:ind w:right="-1191" w:rightChars="-567"/>
        <w:jc w:val="left"/>
        <w:rPr>
          <w:rFonts w:ascii="微软雅黑" w:hAnsi="微软雅黑" w:eastAsia="微软雅黑" w:cs="宋体"/>
          <w:b/>
          <w:kern w:val="0"/>
          <w:sz w:val="28"/>
          <w:szCs w:val="28"/>
        </w:rPr>
      </w:pPr>
      <w:r>
        <w:rPr>
          <w:rFonts w:hint="eastAsia" w:ascii="微软雅黑" w:hAnsi="微软雅黑" w:eastAsia="微软雅黑" w:cs="宋体"/>
          <w:b/>
          <w:kern w:val="0"/>
          <w:sz w:val="28"/>
          <w:szCs w:val="28"/>
        </w:rPr>
        <w:t xml:space="preserve">2、行业重点新闻 </w:t>
      </w:r>
    </w:p>
    <w:p w14:paraId="2DF703D5">
      <w:pPr>
        <w:pStyle w:val="20"/>
        <w:numPr>
          <w:ilvl w:val="0"/>
          <w:numId w:val="3"/>
        </w:numPr>
        <w:spacing w:line="360" w:lineRule="auto"/>
        <w:ind w:firstLineChars="0"/>
        <w:rPr>
          <w:b/>
          <w:color w:val="17375E" w:themeColor="text2" w:themeShade="BF"/>
        </w:rPr>
      </w:pPr>
      <w:r>
        <w:rPr>
          <w:color w:val="17375E" w:themeColor="text2" w:themeShade="BF"/>
        </w:rPr>
        <mc:AlternateContent>
          <mc:Choice Requires="wps">
            <w:drawing>
              <wp:anchor distT="0" distB="0" distL="114300" distR="114300" simplePos="0" relativeHeight="251667456" behindDoc="0" locked="0" layoutInCell="1" allowOverlap="1">
                <wp:simplePos x="0" y="0"/>
                <wp:positionH relativeFrom="column">
                  <wp:posOffset>1905</wp:posOffset>
                </wp:positionH>
                <wp:positionV relativeFrom="paragraph">
                  <wp:posOffset>274320</wp:posOffset>
                </wp:positionV>
                <wp:extent cx="5219700" cy="0"/>
                <wp:effectExtent l="9525" t="7620" r="9525" b="11430"/>
                <wp:wrapNone/>
                <wp:docPr id="8" name="AutoShape 54"/>
                <wp:cNvGraphicFramePr/>
                <a:graphic xmlns:a="http://schemas.openxmlformats.org/drawingml/2006/main">
                  <a:graphicData uri="http://schemas.microsoft.com/office/word/2010/wordprocessingShape">
                    <wps:wsp>
                      <wps:cNvCnPr>
                        <a:cxnSpLocks noChangeShapeType="1"/>
                      </wps:cNvCnPr>
                      <wps:spPr bwMode="auto">
                        <a:xfrm>
                          <a:off x="0" y="0"/>
                          <a:ext cx="5219700" cy="0"/>
                        </a:xfrm>
                        <a:prstGeom prst="straightConnector1">
                          <a:avLst/>
                        </a:prstGeom>
                        <a:noFill/>
                        <a:ln w="12700">
                          <a:solidFill>
                            <a:schemeClr val="accent1">
                              <a:lumMod val="100000"/>
                              <a:lumOff val="0"/>
                            </a:schemeClr>
                          </a:solidFill>
                          <a:prstDash val="dash"/>
                          <a:round/>
                        </a:ln>
                        <a:effectLst/>
                      </wps:spPr>
                      <wps:bodyPr/>
                    </wps:wsp>
                  </a:graphicData>
                </a:graphic>
              </wp:anchor>
            </w:drawing>
          </mc:Choice>
          <mc:Fallback>
            <w:pict>
              <v:shape id="AutoShape 54" o:spid="_x0000_s1026" o:spt="32" type="#_x0000_t32" style="position:absolute;left:0pt;margin-left:0.15pt;margin-top:21.6pt;height:0pt;width:411pt;z-index:251667456;mso-width-relative:page;mso-height-relative:page;" filled="f" stroked="t" coordsize="21600,21600" o:gfxdata="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rSFD/PAAAABgEAAA8AAAAAAAAAAQAgAAAAIgAAAGRycy9kb3ducmV2LnhtbFBLAQIU&#10;ABQAAAAIAIdO4kBtNUyz/AEAABAEAAAOAAAAAAAAAAEAIAAAAB4BAABkcnMvZTJvRG9jLnhtbFBL&#10;BQYAAAAABgAGAFkBAACMBQAAAAA=&#10;">
                <v:fill on="f" focussize="0,0"/>
                <v:stroke weight="1pt" color="#4F81BD [3220]" joinstyle="round" dashstyle="dash"/>
                <v:imagedata o:title=""/>
                <o:lock v:ext="edit" aspectratio="f"/>
              </v:shape>
            </w:pict>
          </mc:Fallback>
        </mc:AlternateContent>
      </w:r>
      <w:r>
        <w:rPr>
          <w:rFonts w:hint="eastAsia"/>
          <w:b/>
          <w:color w:val="17375E" w:themeColor="text2" w:themeShade="BF"/>
        </w:rPr>
        <w:t>行业政策</w:t>
      </w:r>
    </w:p>
    <w:p w14:paraId="66F1D373">
      <w:pPr>
        <w:pStyle w:val="20"/>
        <w:numPr>
          <w:ilvl w:val="0"/>
          <w:numId w:val="0"/>
        </w:numPr>
        <w:spacing w:line="360" w:lineRule="auto"/>
        <w:ind w:leftChars="0"/>
        <w:rPr>
          <w:rFonts w:hint="eastAsia"/>
          <w:b w:val="0"/>
          <w:bCs/>
          <w:color w:val="auto"/>
        </w:rPr>
      </w:pPr>
      <w:r>
        <w:rPr>
          <w:rFonts w:hint="eastAsia"/>
          <w:b w:val="0"/>
          <w:bCs/>
          <w:color w:val="auto"/>
        </w:rPr>
        <w:t>【中共中央“十五五”规划：清洁低碳安全高效的新型能源体系初步建成】</w:t>
      </w:r>
    </w:p>
    <w:p w14:paraId="080800AA">
      <w:pPr>
        <w:pStyle w:val="20"/>
        <w:numPr>
          <w:ilvl w:val="0"/>
          <w:numId w:val="0"/>
        </w:numPr>
        <w:spacing w:line="360" w:lineRule="auto"/>
        <w:ind w:leftChars="0"/>
        <w:rPr>
          <w:rFonts w:hint="eastAsia"/>
          <w:b w:val="0"/>
          <w:bCs/>
          <w:color w:val="auto"/>
        </w:rPr>
      </w:pPr>
      <w:r>
        <w:rPr>
          <w:rFonts w:hint="eastAsia"/>
          <w:b w:val="0"/>
          <w:bCs/>
          <w:color w:val="auto"/>
        </w:rPr>
        <w:t>10月28日,《中共中央关于制定国民经济和社会发展第十五个五年规划的建议》(简称《建议》) 发布。《建议》提出，“十五五”时期经济社会发展的主要目标，包括七个方面。其中提到，”十五五“时期，绿色生产生活方式基本形成，碳达峰目标如期实现，清洁低碳安全高效的新型能源体系初步建成，主要污染物排放总量持续减少，生态系统多样性稳定性持续性不断提升。</w:t>
      </w:r>
    </w:p>
    <w:p w14:paraId="29FC80CA">
      <w:pPr>
        <w:pStyle w:val="20"/>
        <w:numPr>
          <w:ilvl w:val="0"/>
          <w:numId w:val="0"/>
        </w:numPr>
        <w:spacing w:line="360" w:lineRule="auto"/>
        <w:ind w:leftChars="0"/>
        <w:rPr>
          <w:rFonts w:hint="eastAsia"/>
          <w:b w:val="0"/>
          <w:bCs/>
          <w:color w:val="auto"/>
        </w:rPr>
      </w:pPr>
      <w:r>
        <w:rPr>
          <w:rFonts w:hint="eastAsia"/>
          <w:b w:val="0"/>
          <w:bCs/>
          <w:color w:val="auto"/>
        </w:rPr>
        <w:t>【生态环境部发布《中国应对气候变化的政策与行动2025年度报告》】</w:t>
      </w:r>
    </w:p>
    <w:p w14:paraId="6599F7B3">
      <w:pPr>
        <w:pStyle w:val="20"/>
        <w:numPr>
          <w:ilvl w:val="0"/>
          <w:numId w:val="0"/>
        </w:numPr>
        <w:spacing w:line="360" w:lineRule="auto"/>
        <w:ind w:leftChars="0"/>
        <w:rPr>
          <w:rFonts w:hint="eastAsia"/>
          <w:b w:val="0"/>
          <w:bCs/>
          <w:color w:val="auto"/>
        </w:rPr>
      </w:pPr>
      <w:r>
        <w:rPr>
          <w:rFonts w:hint="eastAsia"/>
          <w:b w:val="0"/>
          <w:bCs/>
          <w:color w:val="auto"/>
        </w:rPr>
        <w:t>10月29日，生态环境部召开10月例行新闻发布会，生态环境部应对气候变化司司长夏应显介绍，“双碳“目标提出五年来，中国构建了碳达峰碳中和“1+N"政策体系，推进“十四五“碳排放强度持续下降。我国建成了全球最大、发展最快的可再生能源体系，贡献了全球四分之一的新增绿色面积;建成了全球覆盖温室气体排放量最大的全国碳排放权交易市场，对全国60%以上碳排放量实现了有效的管控。</w:t>
      </w:r>
    </w:p>
    <w:p w14:paraId="3253060A">
      <w:pPr>
        <w:pStyle w:val="20"/>
        <w:numPr>
          <w:ilvl w:val="0"/>
          <w:numId w:val="0"/>
        </w:numPr>
        <w:spacing w:line="360" w:lineRule="auto"/>
        <w:ind w:leftChars="0"/>
        <w:rPr>
          <w:rFonts w:hint="eastAsia"/>
          <w:b w:val="0"/>
          <w:bCs/>
          <w:color w:val="auto"/>
        </w:rPr>
      </w:pPr>
      <w:r>
        <w:rPr>
          <w:rFonts w:hint="eastAsia"/>
          <w:b w:val="0"/>
          <w:bCs/>
          <w:color w:val="auto"/>
        </w:rPr>
        <w:t>【中共二十届四中全会举行 擘画我国未来发展蓝图】</w:t>
      </w:r>
    </w:p>
    <w:p w14:paraId="7991C30F">
      <w:pPr>
        <w:pStyle w:val="20"/>
        <w:numPr>
          <w:ilvl w:val="0"/>
          <w:numId w:val="0"/>
        </w:numPr>
        <w:spacing w:line="360" w:lineRule="auto"/>
        <w:ind w:leftChars="0"/>
        <w:rPr>
          <w:rFonts w:hint="eastAsia"/>
          <w:b w:val="0"/>
          <w:bCs/>
          <w:color w:val="auto"/>
        </w:rPr>
      </w:pPr>
      <w:r>
        <w:rPr>
          <w:rFonts w:hint="eastAsia"/>
          <w:b w:val="0"/>
          <w:bCs/>
          <w:color w:val="auto"/>
        </w:rPr>
        <w:t>2025年10月20日至23日，中国共产党第二十届中央委员会第四次全体会议在北京举行。会议召开于“十四五“规划收官与”十五五“规划开局之际，具有承前启后的关键作用，是在向第二个百年奋斗目标进军路途中召开的一次具有重大意义的会议。</w:t>
      </w:r>
    </w:p>
    <w:p w14:paraId="5F39247D">
      <w:pPr>
        <w:pStyle w:val="20"/>
        <w:numPr>
          <w:ilvl w:val="0"/>
          <w:numId w:val="0"/>
        </w:numPr>
        <w:spacing w:line="360" w:lineRule="auto"/>
        <w:ind w:leftChars="0"/>
        <w:rPr>
          <w:rFonts w:hint="eastAsia"/>
          <w:b w:val="0"/>
          <w:bCs/>
          <w:color w:val="auto"/>
        </w:rPr>
      </w:pPr>
      <w:r>
        <w:rPr>
          <w:rFonts w:hint="eastAsia"/>
          <w:b w:val="0"/>
          <w:bCs/>
          <w:color w:val="auto"/>
        </w:rPr>
        <w:t>【宁夏开展预案推演提升煤矿事故应急处置能力】</w:t>
      </w:r>
    </w:p>
    <w:p w14:paraId="5B143C20">
      <w:pPr>
        <w:pStyle w:val="20"/>
        <w:numPr>
          <w:ilvl w:val="0"/>
          <w:numId w:val="0"/>
        </w:numPr>
        <w:spacing w:line="360" w:lineRule="auto"/>
        <w:ind w:leftChars="0"/>
        <w:rPr>
          <w:rFonts w:hint="eastAsia"/>
          <w:b w:val="0"/>
          <w:bCs/>
          <w:color w:val="auto"/>
        </w:rPr>
      </w:pPr>
      <w:r>
        <w:rPr>
          <w:rFonts w:hint="eastAsia"/>
          <w:b w:val="0"/>
          <w:bCs/>
          <w:color w:val="auto"/>
        </w:rPr>
        <w:t>人民网消息，为切实提高煤矿事故应急救援处置能力，进一步熟悉职责、熟练流程，10月21日，宁夏回族自治区应急管理厅组织开展全区矿山事故应急预案培训及煤矿事故应急响应演练。</w:t>
      </w:r>
    </w:p>
    <w:p w14:paraId="76C8D334">
      <w:pPr>
        <w:pStyle w:val="20"/>
        <w:numPr>
          <w:ilvl w:val="0"/>
          <w:numId w:val="0"/>
        </w:numPr>
        <w:spacing w:line="360" w:lineRule="auto"/>
        <w:ind w:leftChars="0"/>
        <w:rPr>
          <w:rFonts w:hint="eastAsia"/>
          <w:b w:val="0"/>
          <w:bCs/>
          <w:color w:val="auto"/>
          <w:lang w:eastAsia="zh-CN"/>
        </w:rPr>
      </w:pPr>
    </w:p>
    <w:p w14:paraId="204134A6">
      <w:pPr>
        <w:pStyle w:val="20"/>
        <w:numPr>
          <w:ilvl w:val="0"/>
          <w:numId w:val="3"/>
        </w:numPr>
        <w:spacing w:line="360" w:lineRule="auto"/>
        <w:ind w:firstLineChars="0"/>
        <w:rPr>
          <w:b/>
          <w:color w:val="17375E" w:themeColor="text2" w:themeShade="BF"/>
        </w:rPr>
      </w:pPr>
      <w:r>
        <w:rPr>
          <w:color w:val="17375E" w:themeColor="text2" w:themeShade="BF"/>
        </w:rPr>
        <mc:AlternateContent>
          <mc:Choice Requires="wps">
            <w:drawing>
              <wp:anchor distT="0" distB="0" distL="114300" distR="114300" simplePos="0" relativeHeight="251668480" behindDoc="0" locked="0" layoutInCell="1" allowOverlap="1">
                <wp:simplePos x="0" y="0"/>
                <wp:positionH relativeFrom="column">
                  <wp:posOffset>1905</wp:posOffset>
                </wp:positionH>
                <wp:positionV relativeFrom="paragraph">
                  <wp:posOffset>274320</wp:posOffset>
                </wp:positionV>
                <wp:extent cx="5219700" cy="0"/>
                <wp:effectExtent l="9525" t="7620" r="9525" b="11430"/>
                <wp:wrapNone/>
                <wp:docPr id="19" name="AutoShape 54"/>
                <wp:cNvGraphicFramePr/>
                <a:graphic xmlns:a="http://schemas.openxmlformats.org/drawingml/2006/main">
                  <a:graphicData uri="http://schemas.microsoft.com/office/word/2010/wordprocessingShape">
                    <wps:wsp>
                      <wps:cNvCnPr>
                        <a:cxnSpLocks noChangeShapeType="1"/>
                      </wps:cNvCnPr>
                      <wps:spPr bwMode="auto">
                        <a:xfrm>
                          <a:off x="0" y="0"/>
                          <a:ext cx="5219700" cy="0"/>
                        </a:xfrm>
                        <a:prstGeom prst="straightConnector1">
                          <a:avLst/>
                        </a:prstGeom>
                        <a:noFill/>
                        <a:ln w="12700">
                          <a:solidFill>
                            <a:schemeClr val="accent1">
                              <a:lumMod val="100000"/>
                              <a:lumOff val="0"/>
                            </a:schemeClr>
                          </a:solidFill>
                          <a:prstDash val="dash"/>
                          <a:round/>
                        </a:ln>
                        <a:effectLst/>
                      </wps:spPr>
                      <wps:bodyPr/>
                    </wps:wsp>
                  </a:graphicData>
                </a:graphic>
              </wp:anchor>
            </w:drawing>
          </mc:Choice>
          <mc:Fallback>
            <w:pict>
              <v:shape id="AutoShape 54" o:spid="_x0000_s1026" o:spt="32" type="#_x0000_t32" style="position:absolute;left:0pt;margin-left:0.15pt;margin-top:21.6pt;height:0pt;width:411pt;z-index:251668480;mso-width-relative:page;mso-height-relative:page;" filled="f" stroked="t" coordsize="21600,21600" o:gfxdata="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q0hQ/zwAAAAYBAAAPAAAAAAAAAAEAIAAAACIAAABkcnMvZG93bnJldi54bWxQSwEC&#10;FAAUAAAACACHTuJAJvlPc/0BAAARBAAADgAAAAAAAAABACAAAAAeAQAAZHJzL2Uyb0RvYy54bWxQ&#10;SwUGAAAAAAYABgBZAQAAjQUAAAAA&#10;">
                <v:fill on="f" focussize="0,0"/>
                <v:stroke weight="1pt" color="#4F81BD [3220]" joinstyle="round" dashstyle="dash"/>
                <v:imagedata o:title=""/>
                <o:lock v:ext="edit" aspectratio="f"/>
              </v:shape>
            </w:pict>
          </mc:Fallback>
        </mc:AlternateContent>
      </w:r>
      <w:r>
        <w:rPr>
          <w:rFonts w:hint="eastAsia"/>
          <w:b/>
          <w:color w:val="17375E" w:themeColor="text2" w:themeShade="BF"/>
        </w:rPr>
        <w:t>行业新闻</w:t>
      </w:r>
    </w:p>
    <w:p w14:paraId="5DA1B09B">
      <w:pPr>
        <w:pStyle w:val="25"/>
        <w:rPr>
          <w:rFonts w:hint="eastAsia"/>
          <w:lang w:eastAsia="zh-CN"/>
        </w:rPr>
      </w:pPr>
      <w:r>
        <w:rPr>
          <w:rFonts w:hint="eastAsia"/>
          <w:lang w:eastAsia="zh-CN"/>
        </w:rPr>
        <w:t>【中电联：电厂发电量和耗煤量显著强于预期】</w:t>
      </w:r>
    </w:p>
    <w:p w14:paraId="7E349CBF">
      <w:pPr>
        <w:pStyle w:val="25"/>
        <w:rPr>
          <w:rFonts w:hint="eastAsia"/>
          <w:lang w:eastAsia="zh-CN"/>
        </w:rPr>
      </w:pPr>
      <w:r>
        <w:rPr>
          <w:rFonts w:hint="eastAsia"/>
          <w:lang w:eastAsia="zh-CN"/>
        </w:rPr>
        <w:t>中电联最新发布的《CECI指数分析周报》(2025年第38期)显示，本周(10月10日至10月16日，下同)，纳入统计的燃煤发电企业日均发电量环比(10月3日至10月9日，下同)增加13.4%，增长10.7%;日均耗煤量环比增加12.5%,同比增加6.9%。其中海路运输电厂日均发电量环比增长14.3%，同比增长24.9%。电厂库存量环比小幅下降，截至10月16日电厂存煤11778万吨，较10月9日减少41万吨;电厂库存可用天数26.6天，较10月9日减少0.4天。</w:t>
      </w:r>
    </w:p>
    <w:p w14:paraId="0C3C6E71">
      <w:pPr>
        <w:pStyle w:val="25"/>
        <w:rPr>
          <w:rFonts w:hint="eastAsia"/>
          <w:lang w:eastAsia="zh-CN"/>
        </w:rPr>
      </w:pPr>
      <w:r>
        <w:rPr>
          <w:rFonts w:hint="eastAsia"/>
          <w:lang w:eastAsia="zh-CN"/>
        </w:rPr>
        <w:t>【1-9月宁夏规上原煤产量降1.4% 销量增12.3%】</w:t>
      </w:r>
    </w:p>
    <w:p w14:paraId="292A9405">
      <w:pPr>
        <w:pStyle w:val="25"/>
        <w:rPr>
          <w:rFonts w:hint="eastAsia"/>
          <w:lang w:eastAsia="zh-CN"/>
        </w:rPr>
      </w:pPr>
      <w:r>
        <w:rPr>
          <w:rFonts w:hint="eastAsia"/>
          <w:lang w:eastAsia="zh-CN"/>
        </w:rPr>
        <w:t>宁夏统计局公布的数据显示，1-9月份，宁夏规模以上工业原煤产量7650.12万吨，同比下降1.4%。其中，一般烟煤7179.18万吨，下降1.7%;炼焦烟煤417.52万吨，增长4.7%;无烟煤53.42万吨，下降10.6%。</w:t>
      </w:r>
    </w:p>
    <w:p w14:paraId="1CC99483">
      <w:pPr>
        <w:pStyle w:val="25"/>
        <w:rPr>
          <w:rFonts w:hint="eastAsia"/>
          <w:lang w:eastAsia="zh-CN"/>
        </w:rPr>
      </w:pPr>
      <w:r>
        <w:rPr>
          <w:rFonts w:hint="eastAsia"/>
          <w:lang w:eastAsia="zh-CN"/>
        </w:rPr>
        <w:t>【前三季度黄骅港煤炭港区完成货物吞吐量1.75亿吨】</w:t>
      </w:r>
    </w:p>
    <w:p w14:paraId="5CA3F00C">
      <w:pPr>
        <w:pStyle w:val="25"/>
        <w:rPr>
          <w:rFonts w:hint="eastAsia"/>
          <w:lang w:eastAsia="zh-CN"/>
        </w:rPr>
      </w:pPr>
      <w:r>
        <w:rPr>
          <w:rFonts w:hint="eastAsia"/>
          <w:lang w:eastAsia="zh-CN"/>
        </w:rPr>
        <w:t>据河北日报报道，记者从沧州港务集团有限公司获悉，今年前三季度，黄骅港煤炭港区完成货物吞吐量1.75亿吨，同比增长3.70%。眼下，随着供暖期临近，为全力做好能源保供工作，黄骅港煤炭港区科学优化作业计划和流程，有效保障了船舶的“快进快出”。</w:t>
      </w:r>
    </w:p>
    <w:p w14:paraId="71FF7116">
      <w:pPr>
        <w:pStyle w:val="25"/>
        <w:rPr>
          <w:rFonts w:hint="eastAsia"/>
          <w:lang w:eastAsia="zh-CN"/>
        </w:rPr>
      </w:pPr>
      <w:r>
        <w:rPr>
          <w:rFonts w:hint="eastAsia"/>
          <w:lang w:eastAsia="zh-CN"/>
        </w:rPr>
        <w:t>【2025年第42周美国煤炭预估产量环比降1.93%】</w:t>
      </w:r>
    </w:p>
    <w:p w14:paraId="5DBA55B7">
      <w:pPr>
        <w:pStyle w:val="25"/>
        <w:rPr>
          <w:rFonts w:hint="eastAsia"/>
          <w:lang w:eastAsia="zh-CN"/>
        </w:rPr>
      </w:pPr>
      <w:r>
        <w:rPr>
          <w:rFonts w:hint="eastAsia"/>
          <w:lang w:eastAsia="zh-CN"/>
        </w:rPr>
        <w:t>美国能源信息署(EIA)10月23日公布的数据显示，2025年第42周(截至10月18日当周)，美国煤炭预估产量环比小幅下降。当周，美国煤炭预估产量1011.86万短吨(917.94万吨)，较前一周下降1.93%，较上年同期增长4.04%。</w:t>
      </w:r>
    </w:p>
    <w:p w14:paraId="29D13859">
      <w:pPr>
        <w:pStyle w:val="25"/>
        <w:rPr>
          <w:rFonts w:hint="eastAsia"/>
          <w:lang w:eastAsia="zh-CN"/>
        </w:rPr>
      </w:pPr>
      <w:r>
        <w:rPr>
          <w:rFonts w:hint="eastAsia"/>
          <w:lang w:eastAsia="zh-CN"/>
        </w:rPr>
        <w:t>【印度4-8月煤炭进口量同比降2.57%】</w:t>
      </w:r>
    </w:p>
    <w:p w14:paraId="7617F034">
      <w:pPr>
        <w:pStyle w:val="25"/>
        <w:rPr>
          <w:rFonts w:hint="eastAsia"/>
          <w:lang w:eastAsia="zh-CN"/>
        </w:rPr>
      </w:pPr>
      <w:r>
        <w:rPr>
          <w:rFonts w:hint="eastAsia"/>
          <w:lang w:eastAsia="zh-CN"/>
        </w:rPr>
        <w:t>印度mjunction平台发布最新数据显示，今年4-8月份，印度煤炭进口量为1.18亿吨，较上年同期的1.21亿吨下降2.57%。mjunction是由印度钢铁管理公司(SAIL)和塔塔集团(Tata Steel)联合运营的在线购销平台。该数据是由mjunction平台根据船运公司收到的船舶监测数据汇总得出。</w:t>
      </w:r>
    </w:p>
    <w:p w14:paraId="5DFEDA8D">
      <w:pPr>
        <w:pStyle w:val="25"/>
        <w:rPr>
          <w:rFonts w:hint="eastAsia"/>
          <w:lang w:eastAsia="zh-CN"/>
        </w:rPr>
      </w:pPr>
      <w:r>
        <w:rPr>
          <w:rFonts w:hint="eastAsia"/>
          <w:lang w:eastAsia="zh-CN"/>
        </w:rPr>
        <w:t>【2025年第43周美国煤炭预估产量环比增1.91%】</w:t>
      </w:r>
    </w:p>
    <w:p w14:paraId="03F84DE6">
      <w:pPr>
        <w:pStyle w:val="25"/>
        <w:rPr>
          <w:rFonts w:hint="eastAsia"/>
          <w:lang w:eastAsia="zh-CN"/>
        </w:rPr>
      </w:pPr>
      <w:r>
        <w:rPr>
          <w:rFonts w:hint="eastAsia"/>
          <w:lang w:eastAsia="zh-CN"/>
        </w:rPr>
        <w:t>美国能源信息署(EIA)10月30日公布的数据显示，2025年第43周(截至10月25日当周)，美国煤炭预估产量环比再次增加。当周，美国煤炭预估产量1031.21万短吨(935.5万吨)，较前一周增长1.91%，较上年同期增长2.98%。</w:t>
      </w:r>
    </w:p>
    <w:p w14:paraId="1155886C">
      <w:pPr>
        <w:pStyle w:val="25"/>
        <w:rPr>
          <w:rFonts w:hint="eastAsia"/>
          <w:lang w:eastAsia="zh-CN"/>
        </w:rPr>
      </w:pPr>
    </w:p>
    <w:p w14:paraId="6DC48928">
      <w:pPr>
        <w:pStyle w:val="20"/>
        <w:numPr>
          <w:ilvl w:val="0"/>
          <w:numId w:val="3"/>
        </w:numPr>
        <w:spacing w:line="360" w:lineRule="auto"/>
        <w:ind w:firstLineChars="0"/>
        <w:rPr>
          <w:b/>
          <w:color w:val="17375E" w:themeColor="text2" w:themeShade="BF"/>
        </w:rPr>
      </w:pPr>
      <w:r>
        <w:rPr>
          <w:color w:val="17375E" w:themeColor="text2" w:themeShade="BF"/>
        </w:rPr>
        <mc:AlternateContent>
          <mc:Choice Requires="wps">
            <w:drawing>
              <wp:anchor distT="0" distB="0" distL="114300" distR="114300" simplePos="0" relativeHeight="251666432" behindDoc="0" locked="0" layoutInCell="1" allowOverlap="1">
                <wp:simplePos x="0" y="0"/>
                <wp:positionH relativeFrom="column">
                  <wp:posOffset>1905</wp:posOffset>
                </wp:positionH>
                <wp:positionV relativeFrom="paragraph">
                  <wp:posOffset>274320</wp:posOffset>
                </wp:positionV>
                <wp:extent cx="5219700" cy="0"/>
                <wp:effectExtent l="9525" t="7620" r="9525" b="11430"/>
                <wp:wrapNone/>
                <wp:docPr id="4" name="AutoShape 54"/>
                <wp:cNvGraphicFramePr/>
                <a:graphic xmlns:a="http://schemas.openxmlformats.org/drawingml/2006/main">
                  <a:graphicData uri="http://schemas.microsoft.com/office/word/2010/wordprocessingShape">
                    <wps:wsp>
                      <wps:cNvCnPr>
                        <a:cxnSpLocks noChangeShapeType="1"/>
                      </wps:cNvCnPr>
                      <wps:spPr bwMode="auto">
                        <a:xfrm>
                          <a:off x="0" y="0"/>
                          <a:ext cx="5219700" cy="0"/>
                        </a:xfrm>
                        <a:prstGeom prst="straightConnector1">
                          <a:avLst/>
                        </a:prstGeom>
                        <a:noFill/>
                        <a:ln w="12700">
                          <a:solidFill>
                            <a:schemeClr val="accent1">
                              <a:lumMod val="100000"/>
                              <a:lumOff val="0"/>
                            </a:schemeClr>
                          </a:solidFill>
                          <a:prstDash val="dash"/>
                          <a:round/>
                        </a:ln>
                        <a:effectLst/>
                      </wps:spPr>
                      <wps:bodyPr/>
                    </wps:wsp>
                  </a:graphicData>
                </a:graphic>
              </wp:anchor>
            </w:drawing>
          </mc:Choice>
          <mc:Fallback>
            <w:pict>
              <v:shape id="AutoShape 54" o:spid="_x0000_s1026" o:spt="32" type="#_x0000_t32" style="position:absolute;left:0pt;margin-left:0.15pt;margin-top:21.6pt;height:0pt;width:411pt;z-index:251666432;mso-width-relative:page;mso-height-relative:page;" filled="f" stroked="t" coordsize="21600,21600" o:gfxdata="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q0hQ/zwAAAAYBAAAPAAAAAAAAAAEAIAAAACIAAABkcnMvZG93bnJldi54bWxQSwEC&#10;FAAUAAAACACHTuJAXJMwKf0BAAAQBAAADgAAAAAAAAABACAAAAAeAQAAZHJzL2Uyb0RvYy54bWxQ&#10;SwUGAAAAAAYABgBZAQAAjQUAAAAA&#10;">
                <v:fill on="f" focussize="0,0"/>
                <v:stroke weight="1pt" color="#4F81BD [3220]" joinstyle="round" dashstyle="dash"/>
                <v:imagedata o:title=""/>
                <o:lock v:ext="edit" aspectratio="f"/>
              </v:shape>
            </w:pict>
          </mc:Fallback>
        </mc:AlternateContent>
      </w:r>
      <w:r>
        <w:rPr>
          <w:rFonts w:hint="eastAsia"/>
          <w:b/>
          <w:color w:val="17375E" w:themeColor="text2" w:themeShade="BF"/>
        </w:rPr>
        <w:t>企业&amp;资本新闻</w:t>
      </w:r>
    </w:p>
    <w:p w14:paraId="2F2B6A8E">
      <w:pPr>
        <w:pStyle w:val="25"/>
        <w:bidi w:val="0"/>
        <w:rPr>
          <w:rFonts w:hint="eastAsia"/>
          <w:lang w:eastAsia="zh-CN"/>
        </w:rPr>
      </w:pPr>
      <w:r>
        <w:rPr>
          <w:rFonts w:hint="eastAsia"/>
          <w:lang w:eastAsia="zh-CN"/>
        </w:rPr>
        <w:t>【山西焦煤第三季度净利润4.2亿元 同比下降52.24%】</w:t>
      </w:r>
    </w:p>
    <w:p w14:paraId="46E920BA">
      <w:pPr>
        <w:pStyle w:val="25"/>
        <w:bidi w:val="0"/>
        <w:rPr>
          <w:rFonts w:hint="eastAsia"/>
          <w:lang w:eastAsia="zh-CN"/>
        </w:rPr>
      </w:pPr>
      <w:r>
        <w:rPr>
          <w:rFonts w:hint="eastAsia"/>
          <w:lang w:eastAsia="zh-CN"/>
        </w:rPr>
        <w:t>山西焦煤发布公告称，2025年第三季度，公司实现营业收入91.22亿元，同比下降20.84%;归属于上市公司股东的净利润4.2亿元，同比下降52.24%。基本每股收益0.074元。前三季度，公司实现营业总收入271.75亿元，同比下降17.88%;归母净利润14.34亿元，同比下降49.62%。基本每股收益0.2526元。</w:t>
      </w:r>
    </w:p>
    <w:p w14:paraId="6FC7577D">
      <w:pPr>
        <w:pStyle w:val="25"/>
        <w:bidi w:val="0"/>
        <w:rPr>
          <w:rFonts w:hint="eastAsia"/>
          <w:lang w:eastAsia="zh-CN"/>
        </w:rPr>
      </w:pPr>
      <w:r>
        <w:rPr>
          <w:rFonts w:hint="eastAsia"/>
          <w:lang w:eastAsia="zh-CN"/>
        </w:rPr>
        <w:t>【山煤国际三季度净利润下降50.53%】</w:t>
      </w:r>
    </w:p>
    <w:p w14:paraId="443E6F12">
      <w:pPr>
        <w:pStyle w:val="25"/>
        <w:bidi w:val="0"/>
        <w:rPr>
          <w:rFonts w:hint="eastAsia"/>
          <w:lang w:eastAsia="zh-CN"/>
        </w:rPr>
      </w:pPr>
      <w:r>
        <w:rPr>
          <w:rFonts w:hint="eastAsia"/>
          <w:lang w:eastAsia="zh-CN"/>
        </w:rPr>
        <w:t>山煤国际发布的公告显示，2025年第三季度，公司实现营收为56.73亿元，同比下降28.27%;净利润为3.91亿元，同比下降50.53%。前三季度营收为153.32亿元，同比下降30.20%;净利润为10.46亿元，同比下降49.74%。公司表示，今年前三季度公司营业收入同比下行，主要是报告期内公司受煤炭市场下行，煤价下跌及贸易煤销量下降，双重因素叠加影响所致，净利润同比下行主要是报告期内公司煤价下跌，利润减少所致。</w:t>
      </w:r>
    </w:p>
    <w:p w14:paraId="791D8DB7">
      <w:pPr>
        <w:pStyle w:val="25"/>
        <w:bidi w:val="0"/>
        <w:rPr>
          <w:rFonts w:hint="eastAsia"/>
          <w:lang w:eastAsia="zh-CN"/>
        </w:rPr>
      </w:pPr>
      <w:r>
        <w:rPr>
          <w:rFonts w:hint="eastAsia"/>
          <w:lang w:eastAsia="zh-CN"/>
        </w:rPr>
        <w:t>【兖煤澳大利亚三季度原煤产量环比降9% 商品煤降2%】</w:t>
      </w:r>
    </w:p>
    <w:p w14:paraId="7DA99B06">
      <w:pPr>
        <w:pStyle w:val="25"/>
        <w:bidi w:val="0"/>
        <w:rPr>
          <w:rFonts w:hint="eastAsia"/>
          <w:lang w:eastAsia="zh-CN"/>
        </w:rPr>
      </w:pPr>
      <w:r>
        <w:rPr>
          <w:rFonts w:hint="eastAsia"/>
          <w:lang w:eastAsia="zh-CN"/>
        </w:rPr>
        <w:t>根据究煤澳大利亚公司(Yancoal Australia)披露的最新季度报告，2025年第三季度，该公司原煤(权益)产量为1160万吨，环比降9%，同比降12%。同期，商品煤(权益)产量为930万吨，环比降2%，同比降9%尽管本季度受到降雨因素干扰，但兖煤澳大利亚公司原煤总产量仍与其预测一致，三季度该公司商品煤总产量(100%基准)也与前一季度持平。</w:t>
      </w:r>
    </w:p>
    <w:p w14:paraId="5777E62A">
      <w:pPr>
        <w:pStyle w:val="25"/>
        <w:bidi w:val="0"/>
        <w:rPr>
          <w:rFonts w:hint="eastAsia"/>
          <w:lang w:eastAsia="zh-CN"/>
        </w:rPr>
      </w:pPr>
      <w:r>
        <w:rPr>
          <w:rFonts w:hint="eastAsia"/>
          <w:lang w:eastAsia="zh-CN"/>
        </w:rPr>
        <w:t>【印尼普吉亚森煤炭公司1-9月利润同比降57%】</w:t>
      </w:r>
    </w:p>
    <w:p w14:paraId="7EC49453">
      <w:pPr>
        <w:pStyle w:val="25"/>
        <w:bidi w:val="0"/>
        <w:rPr>
          <w:rFonts w:hint="eastAsia"/>
          <w:lang w:eastAsia="zh-CN"/>
        </w:rPr>
      </w:pPr>
      <w:r>
        <w:rPr>
          <w:rFonts w:hint="eastAsia"/>
          <w:lang w:eastAsia="zh-CN"/>
        </w:rPr>
        <w:t>印尼普吉亚森煤炭公司(PTBA)近日发布季度运营报告显示，2025年1-9月份，公司运营净利润为1.39万亿印尼较上年同期的3.23万亿印尼盾下降56.96%;基本摊薄每股收益由上年同期的281印尼盾下降至121印尼盾。同期，该公司运营收入为31.33万亿印尼盾，较上年同期的30.65万亿印尼盾增长2.21%。该公司表示，收入增长但利润大降，主要是由于全球煤炭市场价格疲软。期间，公司煤炭平均销售价格同比下降6%。</w:t>
      </w:r>
    </w:p>
    <w:p w14:paraId="62A44386">
      <w:pPr>
        <w:pStyle w:val="25"/>
        <w:bidi w:val="0"/>
        <w:rPr>
          <w:rFonts w:hint="eastAsia"/>
          <w:lang w:eastAsia="zh-CN"/>
        </w:rPr>
      </w:pPr>
      <w:bookmarkStart w:id="7" w:name="_GoBack"/>
      <w:bookmarkEnd w:id="7"/>
    </w:p>
    <w:p w14:paraId="6121665B">
      <w:pPr>
        <w:pStyle w:val="25"/>
        <w:bidi w:val="0"/>
        <w:rPr>
          <w:rFonts w:hint="eastAsia"/>
          <w:lang w:eastAsia="zh-CN"/>
        </w:rPr>
      </w:pPr>
    </w:p>
    <w:p w14:paraId="0033302E">
      <w:pPr>
        <w:pStyle w:val="25"/>
        <w:bidi w:val="0"/>
        <w:rPr>
          <w:rFonts w:hint="eastAsia"/>
          <w:lang w:eastAsia="zh-CN"/>
        </w:rPr>
      </w:pPr>
      <w:r>
        <mc:AlternateContent>
          <mc:Choice Requires="wps">
            <w:drawing>
              <wp:anchor distT="0" distB="0" distL="114300" distR="114300" simplePos="0" relativeHeight="251669504" behindDoc="0" locked="0" layoutInCell="1" allowOverlap="1">
                <wp:simplePos x="0" y="0"/>
                <wp:positionH relativeFrom="page">
                  <wp:posOffset>37465</wp:posOffset>
                </wp:positionH>
                <wp:positionV relativeFrom="paragraph">
                  <wp:posOffset>244475</wp:posOffset>
                </wp:positionV>
                <wp:extent cx="7458075" cy="1493520"/>
                <wp:effectExtent l="6350" t="6350" r="18415" b="8890"/>
                <wp:wrapNone/>
                <wp:docPr id="18" name="Rectangle 66"/>
                <wp:cNvGraphicFramePr/>
                <a:graphic xmlns:a="http://schemas.openxmlformats.org/drawingml/2006/main">
                  <a:graphicData uri="http://schemas.microsoft.com/office/word/2010/wordprocessingShape">
                    <wps:wsp>
                      <wps:cNvSpPr>
                        <a:spLocks noChangeArrowheads="1"/>
                      </wps:cNvSpPr>
                      <wps:spPr bwMode="auto">
                        <a:xfrm>
                          <a:off x="0" y="0"/>
                          <a:ext cx="7458075" cy="1493520"/>
                        </a:xfrm>
                        <a:prstGeom prst="rect">
                          <a:avLst/>
                        </a:prstGeom>
                        <a:solidFill>
                          <a:srgbClr val="FFFFFF"/>
                        </a:solidFill>
                        <a:ln w="12700" cap="rnd">
                          <a:solidFill>
                            <a:srgbClr val="000000"/>
                          </a:solidFill>
                          <a:prstDash val="sysDot"/>
                          <a:miter lim="800000"/>
                        </a:ln>
                      </wps:spPr>
                      <wps:txbx>
                        <w:txbxContent>
                          <w:p w14:paraId="4DB3DDA4">
                            <w:pPr>
                              <w:rPr>
                                <w:sz w:val="15"/>
                                <w:szCs w:val="15"/>
                              </w:rPr>
                            </w:pPr>
                            <w:r>
                              <w:rPr>
                                <w:rFonts w:hint="eastAsia"/>
                                <w:sz w:val="15"/>
                                <w:szCs w:val="15"/>
                              </w:rPr>
                              <w:t>免责声明：</w:t>
                            </w:r>
                          </w:p>
                          <w:p w14:paraId="05FE05E3">
                            <w:pPr>
                              <w:rPr>
                                <w:sz w:val="15"/>
                                <w:szCs w:val="15"/>
                              </w:rPr>
                            </w:pPr>
                            <w:r>
                              <w:rPr>
                                <w:rFonts w:hint="eastAsia"/>
                                <w:sz w:val="15"/>
                                <w:szCs w:val="15"/>
                              </w:rPr>
                              <w:t xml:space="preserve">本报告是基于上海联合矿权交易所认为可靠的已公开信息编制，但上海联合矿权交易所不保证所载信息的准确性和完整性。本报告所载的意见、评估及预测仅为本报告最初出具日的观点和判断，在任何情况下，本报告中的信息或所表述的意见并不构成对任何人的投资建议。本报告所载的资料、工具、意见及推测仅供参考，并非作为或被视为出售或购买证券或其他投资标的的邀请或向人做出邀请。 </w:t>
                            </w:r>
                          </w:p>
                          <w:p w14:paraId="14B3507A">
                            <w:pPr>
                              <w:rPr>
                                <w:sz w:val="15"/>
                                <w:szCs w:val="15"/>
                              </w:rPr>
                            </w:pPr>
                            <w:r>
                              <w:rPr>
                                <w:rFonts w:hint="eastAsia"/>
                                <w:sz w:val="15"/>
                                <w:szCs w:val="15"/>
                              </w:rPr>
                              <w:t>本报告版权仅为上海联合矿权交易所所有。未经上海联合矿权交易所书面同意，任何机构和个人不得以任何形式翻版、复制、发布、转发或引用本报告的任何部分。若上海联合矿权交易所以外的机构向其客户发放本报告，则由该机构独自为此发送行为负责，上海联合矿权交易所对此等行为不承担任何责任。</w:t>
                            </w:r>
                          </w:p>
                          <w:p w14:paraId="2D84D821">
                            <w:pPr>
                              <w:rPr>
                                <w:rFonts w:hint="eastAsia"/>
                                <w:sz w:val="15"/>
                                <w:szCs w:val="15"/>
                              </w:rPr>
                            </w:pPr>
                            <w:r>
                              <w:rPr>
                                <w:rFonts w:hint="eastAsia"/>
                                <w:sz w:val="15"/>
                                <w:szCs w:val="15"/>
                              </w:rPr>
                              <w:t>如未经上海联合矿权交易所授权，私自转载或者转发本报告，所引起的一切后果及法律</w:t>
                            </w:r>
                          </w:p>
                          <w:p w14:paraId="67776518">
                            <w:pPr>
                              <w:rPr>
                                <w:sz w:val="15"/>
                                <w:szCs w:val="15"/>
                              </w:rPr>
                            </w:pPr>
                            <w:r>
                              <w:rPr>
                                <w:rFonts w:hint="eastAsia"/>
                                <w:sz w:val="15"/>
                                <w:szCs w:val="15"/>
                              </w:rPr>
                              <w:t>发者承担。上海联合矿权交易所将保留随时追究其法律责任的权利。</w:t>
                            </w:r>
                          </w:p>
                          <w:p w14:paraId="2166ABE0">
                            <w:pPr>
                              <w:rPr>
                                <w:sz w:val="15"/>
                                <w:szCs w:val="15"/>
                              </w:rPr>
                            </w:pPr>
                          </w:p>
                        </w:txbxContent>
                      </wps:txbx>
                      <wps:bodyPr rot="0" vert="horz" wrap="square" lIns="91440" tIns="45720" rIns="91440" bIns="45720" anchor="t" anchorCtr="0" upright="1">
                        <a:noAutofit/>
                      </wps:bodyPr>
                    </wps:wsp>
                  </a:graphicData>
                </a:graphic>
              </wp:anchor>
            </w:drawing>
          </mc:Choice>
          <mc:Fallback>
            <w:pict>
              <v:rect id="Rectangle 66" o:spid="_x0000_s1026" o:spt="1" style="position:absolute;left:0pt;margin-left:2.95pt;margin-top:19.25pt;height:117.6pt;width:587.25pt;mso-position-horizontal-relative:page;z-index:251669504;mso-width-relative:page;mso-height-relative:page;" fillcolor="#FFFFFF" filled="t" stroked="t" coordsize="21600,21600" o:gfxdata="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qZyw7dcAAAAJAQAADwAAAAAAAAABACAA&#10;AAAiAAAAZHJzL2Rvd25yZXYueG1sUEsBAhQAFAAAAAgAh07iQF5hy4hHAgAApQQAAA4AAAAAAAAA&#10;AQAgAAAAJgEAAGRycy9lMm9Eb2MueG1sUEsFBgAAAAAGAAYAWQEAAN8FAAAAAA==&#10;">
                <v:fill on="t" focussize="0,0"/>
                <v:stroke weight="1pt" color="#000000" miterlimit="8" joinstyle="miter" dashstyle="1 1" endcap="round"/>
                <v:imagedata o:title=""/>
                <o:lock v:ext="edit" aspectratio="f"/>
                <v:textbox>
                  <w:txbxContent>
                    <w:p w14:paraId="4DB3DDA4">
                      <w:pPr>
                        <w:rPr>
                          <w:sz w:val="15"/>
                          <w:szCs w:val="15"/>
                        </w:rPr>
                      </w:pPr>
                      <w:r>
                        <w:rPr>
                          <w:rFonts w:hint="eastAsia"/>
                          <w:sz w:val="15"/>
                          <w:szCs w:val="15"/>
                        </w:rPr>
                        <w:t>免责声明：</w:t>
                      </w:r>
                    </w:p>
                    <w:p w14:paraId="05FE05E3">
                      <w:pPr>
                        <w:rPr>
                          <w:sz w:val="15"/>
                          <w:szCs w:val="15"/>
                        </w:rPr>
                      </w:pPr>
                      <w:r>
                        <w:rPr>
                          <w:rFonts w:hint="eastAsia"/>
                          <w:sz w:val="15"/>
                          <w:szCs w:val="15"/>
                        </w:rPr>
                        <w:t xml:space="preserve">本报告是基于上海联合矿权交易所认为可靠的已公开信息编制，但上海联合矿权交易所不保证所载信息的准确性和完整性。本报告所载的意见、评估及预测仅为本报告最初出具日的观点和判断，在任何情况下，本报告中的信息或所表述的意见并不构成对任何人的投资建议。本报告所载的资料、工具、意见及推测仅供参考，并非作为或被视为出售或购买证券或其他投资标的的邀请或向人做出邀请。 </w:t>
                      </w:r>
                    </w:p>
                    <w:p w14:paraId="14B3507A">
                      <w:pPr>
                        <w:rPr>
                          <w:sz w:val="15"/>
                          <w:szCs w:val="15"/>
                        </w:rPr>
                      </w:pPr>
                      <w:r>
                        <w:rPr>
                          <w:rFonts w:hint="eastAsia"/>
                          <w:sz w:val="15"/>
                          <w:szCs w:val="15"/>
                        </w:rPr>
                        <w:t>本报告版权仅为上海联合矿权交易所所有。未经上海联合矿权交易所书面同意，任何机构和个人不得以任何形式翻版、复制、发布、转发或引用本报告的任何部分。若上海联合矿权交易所以外的机构向其客户发放本报告，则由该机构独自为此发送行为负责，上海联合矿权交易所对此等行为不承担任何责任。</w:t>
                      </w:r>
                    </w:p>
                    <w:p w14:paraId="2D84D821">
                      <w:pPr>
                        <w:rPr>
                          <w:rFonts w:hint="eastAsia"/>
                          <w:sz w:val="15"/>
                          <w:szCs w:val="15"/>
                        </w:rPr>
                      </w:pPr>
                      <w:r>
                        <w:rPr>
                          <w:rFonts w:hint="eastAsia"/>
                          <w:sz w:val="15"/>
                          <w:szCs w:val="15"/>
                        </w:rPr>
                        <w:t>如未经上海联合矿权交易所授权，私自转载或者转发本报告，所引起的一切后果及法律</w:t>
                      </w:r>
                    </w:p>
                    <w:p w14:paraId="67776518">
                      <w:pPr>
                        <w:rPr>
                          <w:sz w:val="15"/>
                          <w:szCs w:val="15"/>
                        </w:rPr>
                      </w:pPr>
                      <w:r>
                        <w:rPr>
                          <w:rFonts w:hint="eastAsia"/>
                          <w:sz w:val="15"/>
                          <w:szCs w:val="15"/>
                        </w:rPr>
                        <w:t>发者承担。上海联合矿权交易所将保留随时追究其法律责任的权利。</w:t>
                      </w:r>
                    </w:p>
                    <w:p w14:paraId="2166ABE0">
                      <w:pPr>
                        <w:rPr>
                          <w:sz w:val="15"/>
                          <w:szCs w:val="15"/>
                        </w:rPr>
                      </w:pPr>
                    </w:p>
                  </w:txbxContent>
                </v:textbox>
              </v:rect>
            </w:pict>
          </mc:Fallback>
        </mc:AlternateContent>
      </w:r>
    </w:p>
    <w:sectPr>
      <w:headerReference r:id="rId3" w:type="default"/>
      <w:footerReference r:id="rId4" w:type="default"/>
      <w:pgSz w:w="11906" w:h="16838"/>
      <w:pgMar w:top="2835"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343759"/>
    </w:sdtPr>
    <w:sdtContent>
      <w:p w14:paraId="5543A5AF">
        <w:pPr>
          <w:pStyle w:val="8"/>
          <w:jc w:val="center"/>
        </w:pPr>
        <w:r>
          <w:fldChar w:fldCharType="begin"/>
        </w:r>
        <w:r>
          <w:instrText xml:space="preserve"> PAGE   \* MERGEFORMAT </w:instrText>
        </w:r>
        <w:r>
          <w:fldChar w:fldCharType="separate"/>
        </w:r>
        <w:r>
          <w:rPr>
            <w:lang w:val="zh-CN"/>
          </w:rPr>
          <w:t>2</w:t>
        </w:r>
        <w:r>
          <w:rPr>
            <w:lang w:val="zh-CN"/>
          </w:rPr>
          <w:fldChar w:fldCharType="end"/>
        </w:r>
      </w:p>
    </w:sdtContent>
  </w:sdt>
  <w:p w14:paraId="400E47DB">
    <w:pPr>
      <w:pStyle w:val="8"/>
      <w:jc w:val="right"/>
      <w:rPr>
        <w:sz w:val="11"/>
        <w:szCs w:val="11"/>
      </w:rPr>
    </w:pPr>
    <w:r>
      <w:rPr>
        <w:rFonts w:hint="eastAsia"/>
        <w:sz w:val="11"/>
        <w:szCs w:val="11"/>
      </w:rPr>
      <w:t xml:space="preserve">                                                                                             编辑：上海联合矿权交易所</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E2CE4C">
    <w:r>
      <mc:AlternateContent>
        <mc:Choice Requires="wps">
          <w:drawing>
            <wp:anchor distT="0" distB="0" distL="114300" distR="114300" simplePos="0" relativeHeight="251664384" behindDoc="0" locked="0" layoutInCell="1" allowOverlap="1">
              <wp:simplePos x="0" y="0"/>
              <wp:positionH relativeFrom="column">
                <wp:posOffset>-1226820</wp:posOffset>
              </wp:positionH>
              <wp:positionV relativeFrom="paragraph">
                <wp:posOffset>497840</wp:posOffset>
              </wp:positionV>
              <wp:extent cx="7734300" cy="424815"/>
              <wp:effectExtent l="66675" t="66675" r="66675" b="70485"/>
              <wp:wrapNone/>
              <wp:docPr id="6" name="Rectangle 1"/>
              <wp:cNvGraphicFramePr/>
              <a:graphic xmlns:a="http://schemas.openxmlformats.org/drawingml/2006/main">
                <a:graphicData uri="http://schemas.microsoft.com/office/word/2010/wordprocessingShape">
                  <wps:wsp>
                    <wps:cNvSpPr>
                      <a:spLocks noChangeArrowheads="1"/>
                    </wps:cNvSpPr>
                    <wps:spPr bwMode="auto">
                      <a:xfrm>
                        <a:off x="0" y="0"/>
                        <a:ext cx="7734300" cy="424815"/>
                      </a:xfrm>
                      <a:prstGeom prst="rect">
                        <a:avLst/>
                      </a:prstGeom>
                      <a:solidFill>
                        <a:schemeClr val="accent1">
                          <a:lumMod val="100000"/>
                          <a:lumOff val="0"/>
                        </a:schemeClr>
                      </a:solidFill>
                      <a:ln w="127000" cmpd="dbl">
                        <a:solidFill>
                          <a:schemeClr val="accent1">
                            <a:lumMod val="100000"/>
                            <a:lumOff val="0"/>
                          </a:schemeClr>
                        </a:solidFill>
                        <a:miter lim="800000"/>
                      </a:ln>
                      <a:effectLst/>
                    </wps:spPr>
                    <wps:txbx>
                      <w:txbxContent>
                        <w:p w14:paraId="72238527">
                          <w:pPr>
                            <w:rPr>
                              <w:rFonts w:ascii="微软雅黑" w:hAnsi="微软雅黑" w:eastAsia="微软雅黑"/>
                              <w:b/>
                              <w:color w:val="FFFFFF" w:themeColor="background1"/>
                              <w:sz w:val="18"/>
                              <w:szCs w:val="18"/>
                              <w14:textFill>
                                <w14:solidFill>
                                  <w14:schemeClr w14:val="bg1"/>
                                </w14:solidFill>
                              </w14:textFill>
                            </w:rPr>
                          </w:pPr>
                          <w:r>
                            <w:rPr>
                              <w:rFonts w:hint="eastAsia" w:ascii="微软雅黑" w:hAnsi="微软雅黑" w:eastAsia="微软雅黑"/>
                              <w:b/>
                              <w:color w:val="FFFFFF" w:themeColor="background1"/>
                              <w:sz w:val="18"/>
                              <w:szCs w:val="18"/>
                              <w14:textFill>
                                <w14:solidFill>
                                  <w14:schemeClr w14:val="bg1"/>
                                </w14:solidFill>
                              </w14:textFill>
                            </w:rPr>
                            <w:t>上海联合矿权交易所                                  煤炭行业周报(第</w:t>
                          </w:r>
                          <w:r>
                            <w:rPr>
                              <w:rFonts w:hint="eastAsia" w:ascii="微软雅黑" w:hAnsi="微软雅黑" w:eastAsia="微软雅黑"/>
                              <w:b/>
                              <w:color w:val="FFFFFF" w:themeColor="background1"/>
                              <w:sz w:val="18"/>
                              <w:szCs w:val="18"/>
                              <w:lang w:val="en-US" w:eastAsia="zh-CN"/>
                              <w14:textFill>
                                <w14:solidFill>
                                  <w14:schemeClr w14:val="bg1"/>
                                </w14:solidFill>
                              </w14:textFill>
                            </w:rPr>
                            <w:t>五百四十一</w:t>
                          </w:r>
                          <w:r>
                            <w:rPr>
                              <w:rFonts w:hint="eastAsia" w:ascii="微软雅黑" w:hAnsi="微软雅黑" w:eastAsia="微软雅黑"/>
                              <w:b/>
                              <w:color w:val="FFFFFF" w:themeColor="background1"/>
                              <w:sz w:val="18"/>
                              <w:szCs w:val="18"/>
                              <w14:textFill>
                                <w14:solidFill>
                                  <w14:schemeClr w14:val="bg1"/>
                                </w14:solidFill>
                              </w14:textFill>
                            </w:rPr>
                            <w:t xml:space="preserve">期)                        </w:t>
                          </w:r>
                          <w:r>
                            <w:rPr>
                              <w:rFonts w:ascii="微软雅黑" w:hAnsi="微软雅黑" w:eastAsia="微软雅黑"/>
                              <w:b/>
                              <w:color w:val="FFFFFF" w:themeColor="background1"/>
                              <w:sz w:val="18"/>
                              <w:szCs w:val="18"/>
                              <w14:textFill>
                                <w14:solidFill>
                                  <w14:schemeClr w14:val="bg1"/>
                                </w14:solidFill>
                              </w14:textFill>
                            </w:rPr>
                            <w:t xml:space="preserve">       </w:t>
                          </w:r>
                          <w:r>
                            <w:rPr>
                              <w:rFonts w:hint="eastAsia" w:ascii="微软雅黑" w:hAnsi="微软雅黑" w:eastAsia="微软雅黑"/>
                              <w:b/>
                              <w:color w:val="FFFFFF" w:themeColor="background1"/>
                              <w:sz w:val="18"/>
                              <w:szCs w:val="18"/>
                              <w14:textFill>
                                <w14:solidFill>
                                  <w14:schemeClr w14:val="bg1"/>
                                </w14:solidFill>
                              </w14:textFill>
                            </w:rPr>
                            <w:t xml:space="preserve"> </w:t>
                          </w:r>
                          <w:r>
                            <w:rPr>
                              <w:rFonts w:ascii="微软雅黑" w:hAnsi="微软雅黑" w:eastAsia="微软雅黑"/>
                              <w:b/>
                              <w:color w:val="FFFFFF" w:themeColor="background1"/>
                              <w:sz w:val="18"/>
                              <w:szCs w:val="18"/>
                              <w14:textFill>
                                <w14:solidFill>
                                  <w14:schemeClr w14:val="bg1"/>
                                </w14:solidFill>
                              </w14:textFill>
                            </w:rPr>
                            <w:t>20</w:t>
                          </w:r>
                          <w:r>
                            <w:rPr>
                              <w:rFonts w:hint="eastAsia" w:ascii="微软雅黑" w:hAnsi="微软雅黑" w:eastAsia="微软雅黑"/>
                              <w:b/>
                              <w:color w:val="FFFFFF" w:themeColor="background1"/>
                              <w:sz w:val="18"/>
                              <w:szCs w:val="18"/>
                              <w14:textFill>
                                <w14:solidFill>
                                  <w14:schemeClr w14:val="bg1"/>
                                </w14:solidFill>
                              </w14:textFill>
                            </w:rPr>
                            <w:t>2</w:t>
                          </w:r>
                          <w:r>
                            <w:rPr>
                              <w:rFonts w:hint="eastAsia" w:ascii="微软雅黑" w:hAnsi="微软雅黑" w:eastAsia="微软雅黑"/>
                              <w:b/>
                              <w:color w:val="FFFFFF" w:themeColor="background1"/>
                              <w:sz w:val="18"/>
                              <w:szCs w:val="18"/>
                              <w:lang w:val="en-US" w:eastAsia="zh-CN"/>
                              <w14:textFill>
                                <w14:solidFill>
                                  <w14:schemeClr w14:val="bg1"/>
                                </w14:solidFill>
                              </w14:textFill>
                            </w:rPr>
                            <w:t>5</w:t>
                          </w:r>
                          <w:r>
                            <w:rPr>
                              <w:rFonts w:ascii="微软雅黑" w:hAnsi="微软雅黑" w:eastAsia="微软雅黑"/>
                              <w:b/>
                              <w:color w:val="FFFFFF" w:themeColor="background1"/>
                              <w:sz w:val="18"/>
                              <w:szCs w:val="18"/>
                              <w14:textFill>
                                <w14:solidFill>
                                  <w14:schemeClr w14:val="bg1"/>
                                </w14:solidFill>
                              </w14:textFill>
                            </w:rPr>
                            <w:t>年</w:t>
                          </w:r>
                          <w:r>
                            <w:rPr>
                              <w:rFonts w:hint="eastAsia" w:ascii="微软雅黑" w:hAnsi="微软雅黑" w:eastAsia="微软雅黑"/>
                              <w:b/>
                              <w:color w:val="FFFFFF" w:themeColor="background1"/>
                              <w:sz w:val="18"/>
                              <w:szCs w:val="18"/>
                              <w:lang w:val="en-US" w:eastAsia="zh-CN"/>
                              <w14:textFill>
                                <w14:solidFill>
                                  <w14:schemeClr w14:val="bg1"/>
                                </w14:solidFill>
                              </w14:textFill>
                            </w:rPr>
                            <w:t>10</w:t>
                          </w:r>
                          <w:r>
                            <w:rPr>
                              <w:rFonts w:ascii="微软雅黑" w:hAnsi="微软雅黑" w:eastAsia="微软雅黑"/>
                              <w:b/>
                              <w:color w:val="FFFFFF" w:themeColor="background1"/>
                              <w:sz w:val="18"/>
                              <w:szCs w:val="18"/>
                              <w14:textFill>
                                <w14:solidFill>
                                  <w14:schemeClr w14:val="bg1"/>
                                </w14:solidFill>
                              </w14:textFill>
                            </w:rPr>
                            <w:t>月</w:t>
                          </w:r>
                          <w:r>
                            <w:rPr>
                              <w:rFonts w:hint="eastAsia" w:ascii="微软雅黑" w:hAnsi="微软雅黑" w:eastAsia="微软雅黑"/>
                              <w:b/>
                              <w:color w:val="FFFFFF" w:themeColor="background1"/>
                              <w:sz w:val="18"/>
                              <w:szCs w:val="18"/>
                              <w:lang w:val="en-US" w:eastAsia="zh-CN"/>
                              <w14:textFill>
                                <w14:solidFill>
                                  <w14:schemeClr w14:val="bg1"/>
                                </w14:solidFill>
                              </w14:textFill>
                            </w:rPr>
                            <w:t>31</w:t>
                          </w:r>
                          <w:r>
                            <w:rPr>
                              <w:rFonts w:hint="eastAsia" w:ascii="微软雅黑" w:hAnsi="微软雅黑" w:eastAsia="微软雅黑"/>
                              <w:b/>
                              <w:color w:val="FFFFFF" w:themeColor="background1"/>
                              <w:sz w:val="18"/>
                              <w:szCs w:val="18"/>
                              <w14:textFill>
                                <w14:solidFill>
                                  <w14:schemeClr w14:val="bg1"/>
                                </w14:solidFill>
                              </w14:textFill>
                            </w:rPr>
                            <w:t>日</w:t>
                          </w:r>
                        </w:p>
                        <w:p w14:paraId="509592D2"/>
                      </w:txbxContent>
                    </wps:txbx>
                    <wps:bodyPr rot="0" vert="horz" wrap="square" lIns="91440" tIns="45720" rIns="91440" bIns="45720" anchor="t" anchorCtr="0" upright="1">
                      <a:noAutofit/>
                    </wps:bodyPr>
                  </wps:wsp>
                </a:graphicData>
              </a:graphic>
            </wp:anchor>
          </w:drawing>
        </mc:Choice>
        <mc:Fallback>
          <w:pict>
            <v:rect id="Rectangle 1" o:spid="_x0000_s1026" o:spt="1" style="position:absolute;left:0pt;margin-left:-96.6pt;margin-top:39.2pt;height:33.45pt;width:609pt;z-index:251664384;mso-width-relative:page;mso-height-relative:page;" fillcolor="#4F81BD [3220]" filled="t" stroked="t" coordsize="21600,21600" o:gfxdata="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CvZKE+2wAA&#10;AAwBAAAPAAAAAAAAAAEAIAAAACIAAABkcnMvZG93bnJldi54bWxQSwECFAAUAAAACACHTuJAnevc&#10;VFQCAAAEBQAADgAAAAAAAAABACAAAAAqAQAAZHJzL2Uyb0RvYy54bWxQSwUGAAAAAAYABgBZAQAA&#10;8AUAAAAA&#10;">
              <v:fill on="t" focussize="0,0"/>
              <v:stroke weight="10pt" color="#4F81BD [3220]" linestyle="thinThin" miterlimit="8" joinstyle="miter"/>
              <v:imagedata o:title=""/>
              <o:lock v:ext="edit" aspectratio="f"/>
              <v:textbox>
                <w:txbxContent>
                  <w:p w14:paraId="72238527">
                    <w:pPr>
                      <w:rPr>
                        <w:rFonts w:ascii="微软雅黑" w:hAnsi="微软雅黑" w:eastAsia="微软雅黑"/>
                        <w:b/>
                        <w:color w:val="FFFFFF" w:themeColor="background1"/>
                        <w:sz w:val="18"/>
                        <w:szCs w:val="18"/>
                        <w14:textFill>
                          <w14:solidFill>
                            <w14:schemeClr w14:val="bg1"/>
                          </w14:solidFill>
                        </w14:textFill>
                      </w:rPr>
                    </w:pPr>
                    <w:r>
                      <w:rPr>
                        <w:rFonts w:hint="eastAsia" w:ascii="微软雅黑" w:hAnsi="微软雅黑" w:eastAsia="微软雅黑"/>
                        <w:b/>
                        <w:color w:val="FFFFFF" w:themeColor="background1"/>
                        <w:sz w:val="18"/>
                        <w:szCs w:val="18"/>
                        <w14:textFill>
                          <w14:solidFill>
                            <w14:schemeClr w14:val="bg1"/>
                          </w14:solidFill>
                        </w14:textFill>
                      </w:rPr>
                      <w:t>上海联合矿权交易所                                  煤炭行业周报(第</w:t>
                    </w:r>
                    <w:r>
                      <w:rPr>
                        <w:rFonts w:hint="eastAsia" w:ascii="微软雅黑" w:hAnsi="微软雅黑" w:eastAsia="微软雅黑"/>
                        <w:b/>
                        <w:color w:val="FFFFFF" w:themeColor="background1"/>
                        <w:sz w:val="18"/>
                        <w:szCs w:val="18"/>
                        <w:lang w:val="en-US" w:eastAsia="zh-CN"/>
                        <w14:textFill>
                          <w14:solidFill>
                            <w14:schemeClr w14:val="bg1"/>
                          </w14:solidFill>
                        </w14:textFill>
                      </w:rPr>
                      <w:t>五百四十一</w:t>
                    </w:r>
                    <w:r>
                      <w:rPr>
                        <w:rFonts w:hint="eastAsia" w:ascii="微软雅黑" w:hAnsi="微软雅黑" w:eastAsia="微软雅黑"/>
                        <w:b/>
                        <w:color w:val="FFFFFF" w:themeColor="background1"/>
                        <w:sz w:val="18"/>
                        <w:szCs w:val="18"/>
                        <w14:textFill>
                          <w14:solidFill>
                            <w14:schemeClr w14:val="bg1"/>
                          </w14:solidFill>
                        </w14:textFill>
                      </w:rPr>
                      <w:t xml:space="preserve">期)                        </w:t>
                    </w:r>
                    <w:r>
                      <w:rPr>
                        <w:rFonts w:ascii="微软雅黑" w:hAnsi="微软雅黑" w:eastAsia="微软雅黑"/>
                        <w:b/>
                        <w:color w:val="FFFFFF" w:themeColor="background1"/>
                        <w:sz w:val="18"/>
                        <w:szCs w:val="18"/>
                        <w14:textFill>
                          <w14:solidFill>
                            <w14:schemeClr w14:val="bg1"/>
                          </w14:solidFill>
                        </w14:textFill>
                      </w:rPr>
                      <w:t xml:space="preserve">       </w:t>
                    </w:r>
                    <w:r>
                      <w:rPr>
                        <w:rFonts w:hint="eastAsia" w:ascii="微软雅黑" w:hAnsi="微软雅黑" w:eastAsia="微软雅黑"/>
                        <w:b/>
                        <w:color w:val="FFFFFF" w:themeColor="background1"/>
                        <w:sz w:val="18"/>
                        <w:szCs w:val="18"/>
                        <w14:textFill>
                          <w14:solidFill>
                            <w14:schemeClr w14:val="bg1"/>
                          </w14:solidFill>
                        </w14:textFill>
                      </w:rPr>
                      <w:t xml:space="preserve"> </w:t>
                    </w:r>
                    <w:r>
                      <w:rPr>
                        <w:rFonts w:ascii="微软雅黑" w:hAnsi="微软雅黑" w:eastAsia="微软雅黑"/>
                        <w:b/>
                        <w:color w:val="FFFFFF" w:themeColor="background1"/>
                        <w:sz w:val="18"/>
                        <w:szCs w:val="18"/>
                        <w14:textFill>
                          <w14:solidFill>
                            <w14:schemeClr w14:val="bg1"/>
                          </w14:solidFill>
                        </w14:textFill>
                      </w:rPr>
                      <w:t>20</w:t>
                    </w:r>
                    <w:r>
                      <w:rPr>
                        <w:rFonts w:hint="eastAsia" w:ascii="微软雅黑" w:hAnsi="微软雅黑" w:eastAsia="微软雅黑"/>
                        <w:b/>
                        <w:color w:val="FFFFFF" w:themeColor="background1"/>
                        <w:sz w:val="18"/>
                        <w:szCs w:val="18"/>
                        <w14:textFill>
                          <w14:solidFill>
                            <w14:schemeClr w14:val="bg1"/>
                          </w14:solidFill>
                        </w14:textFill>
                      </w:rPr>
                      <w:t>2</w:t>
                    </w:r>
                    <w:r>
                      <w:rPr>
                        <w:rFonts w:hint="eastAsia" w:ascii="微软雅黑" w:hAnsi="微软雅黑" w:eastAsia="微软雅黑"/>
                        <w:b/>
                        <w:color w:val="FFFFFF" w:themeColor="background1"/>
                        <w:sz w:val="18"/>
                        <w:szCs w:val="18"/>
                        <w:lang w:val="en-US" w:eastAsia="zh-CN"/>
                        <w14:textFill>
                          <w14:solidFill>
                            <w14:schemeClr w14:val="bg1"/>
                          </w14:solidFill>
                        </w14:textFill>
                      </w:rPr>
                      <w:t>5</w:t>
                    </w:r>
                    <w:r>
                      <w:rPr>
                        <w:rFonts w:ascii="微软雅黑" w:hAnsi="微软雅黑" w:eastAsia="微软雅黑"/>
                        <w:b/>
                        <w:color w:val="FFFFFF" w:themeColor="background1"/>
                        <w:sz w:val="18"/>
                        <w:szCs w:val="18"/>
                        <w14:textFill>
                          <w14:solidFill>
                            <w14:schemeClr w14:val="bg1"/>
                          </w14:solidFill>
                        </w14:textFill>
                      </w:rPr>
                      <w:t>年</w:t>
                    </w:r>
                    <w:r>
                      <w:rPr>
                        <w:rFonts w:hint="eastAsia" w:ascii="微软雅黑" w:hAnsi="微软雅黑" w:eastAsia="微软雅黑"/>
                        <w:b/>
                        <w:color w:val="FFFFFF" w:themeColor="background1"/>
                        <w:sz w:val="18"/>
                        <w:szCs w:val="18"/>
                        <w:lang w:val="en-US" w:eastAsia="zh-CN"/>
                        <w14:textFill>
                          <w14:solidFill>
                            <w14:schemeClr w14:val="bg1"/>
                          </w14:solidFill>
                        </w14:textFill>
                      </w:rPr>
                      <w:t>10</w:t>
                    </w:r>
                    <w:r>
                      <w:rPr>
                        <w:rFonts w:ascii="微软雅黑" w:hAnsi="微软雅黑" w:eastAsia="微软雅黑"/>
                        <w:b/>
                        <w:color w:val="FFFFFF" w:themeColor="background1"/>
                        <w:sz w:val="18"/>
                        <w:szCs w:val="18"/>
                        <w14:textFill>
                          <w14:solidFill>
                            <w14:schemeClr w14:val="bg1"/>
                          </w14:solidFill>
                        </w14:textFill>
                      </w:rPr>
                      <w:t>月</w:t>
                    </w:r>
                    <w:r>
                      <w:rPr>
                        <w:rFonts w:hint="eastAsia" w:ascii="微软雅黑" w:hAnsi="微软雅黑" w:eastAsia="微软雅黑"/>
                        <w:b/>
                        <w:color w:val="FFFFFF" w:themeColor="background1"/>
                        <w:sz w:val="18"/>
                        <w:szCs w:val="18"/>
                        <w:lang w:val="en-US" w:eastAsia="zh-CN"/>
                        <w14:textFill>
                          <w14:solidFill>
                            <w14:schemeClr w14:val="bg1"/>
                          </w14:solidFill>
                        </w14:textFill>
                      </w:rPr>
                      <w:t>31</w:t>
                    </w:r>
                    <w:r>
                      <w:rPr>
                        <w:rFonts w:hint="eastAsia" w:ascii="微软雅黑" w:hAnsi="微软雅黑" w:eastAsia="微软雅黑"/>
                        <w:b/>
                        <w:color w:val="FFFFFF" w:themeColor="background1"/>
                        <w:sz w:val="18"/>
                        <w:szCs w:val="18"/>
                        <w14:textFill>
                          <w14:solidFill>
                            <w14:schemeClr w14:val="bg1"/>
                          </w14:solidFill>
                        </w14:textFill>
                      </w:rPr>
                      <w:t>日</w:t>
                    </w:r>
                  </w:p>
                  <w:p w14:paraId="509592D2"/>
                </w:txbxContent>
              </v:textbox>
            </v:rect>
          </w:pict>
        </mc:Fallback>
      </mc:AlternateContent>
    </w:r>
    <w:r>
      <w:drawing>
        <wp:anchor distT="0" distB="0" distL="114300" distR="114300" simplePos="0" relativeHeight="251665408" behindDoc="0" locked="0" layoutInCell="1" allowOverlap="1">
          <wp:simplePos x="0" y="0"/>
          <wp:positionH relativeFrom="column">
            <wp:posOffset>2240280</wp:posOffset>
          </wp:positionH>
          <wp:positionV relativeFrom="paragraph">
            <wp:posOffset>-368935</wp:posOffset>
          </wp:positionV>
          <wp:extent cx="628650" cy="628650"/>
          <wp:effectExtent l="19050" t="0" r="0" b="0"/>
          <wp:wrapNone/>
          <wp:docPr id="2" name="图片 1" descr="kjs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kjs_logo.jpg"/>
                  <pic:cNvPicPr>
                    <a:picLocks noChangeAspect="1"/>
                  </pic:cNvPicPr>
                </pic:nvPicPr>
                <pic:blipFill>
                  <a:blip r:embed="rId1"/>
                  <a:stretch>
                    <a:fillRect/>
                  </a:stretch>
                </pic:blipFill>
                <pic:spPr>
                  <a:xfrm>
                    <a:off x="0" y="0"/>
                    <a:ext cx="628650" cy="62865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BE8BBB"/>
    <w:multiLevelType w:val="singleLevel"/>
    <w:tmpl w:val="8BBE8BBB"/>
    <w:lvl w:ilvl="0" w:tentative="0">
      <w:start w:val="1"/>
      <w:numFmt w:val="decimal"/>
      <w:suff w:val="nothing"/>
      <w:lvlText w:val="%1、"/>
      <w:lvlJc w:val="left"/>
    </w:lvl>
  </w:abstractNum>
  <w:abstractNum w:abstractNumId="1">
    <w:nsid w:val="21B01B32"/>
    <w:multiLevelType w:val="multilevel"/>
    <w:tmpl w:val="21B01B3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445C4B50"/>
    <w:multiLevelType w:val="multilevel"/>
    <w:tmpl w:val="445C4B5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QyYTVmMjJjNTgxMGM4NThmNWMzNmYxNmViZDJhYTAifQ=="/>
  </w:docVars>
  <w:rsids>
    <w:rsidRoot w:val="003A3139"/>
    <w:rsid w:val="000013EB"/>
    <w:rsid w:val="00001E85"/>
    <w:rsid w:val="000026F8"/>
    <w:rsid w:val="00004354"/>
    <w:rsid w:val="000048A4"/>
    <w:rsid w:val="0000794C"/>
    <w:rsid w:val="00007D4B"/>
    <w:rsid w:val="00007DC9"/>
    <w:rsid w:val="00007FF8"/>
    <w:rsid w:val="000103F3"/>
    <w:rsid w:val="00011182"/>
    <w:rsid w:val="0001172B"/>
    <w:rsid w:val="000121EA"/>
    <w:rsid w:val="00014658"/>
    <w:rsid w:val="000161F7"/>
    <w:rsid w:val="00016421"/>
    <w:rsid w:val="0001706B"/>
    <w:rsid w:val="000175D7"/>
    <w:rsid w:val="00022982"/>
    <w:rsid w:val="00022E5D"/>
    <w:rsid w:val="00023218"/>
    <w:rsid w:val="00024370"/>
    <w:rsid w:val="000245F5"/>
    <w:rsid w:val="000246AF"/>
    <w:rsid w:val="0002562C"/>
    <w:rsid w:val="00025773"/>
    <w:rsid w:val="000262B0"/>
    <w:rsid w:val="0002726C"/>
    <w:rsid w:val="00027AD4"/>
    <w:rsid w:val="00030261"/>
    <w:rsid w:val="000307EB"/>
    <w:rsid w:val="00031D48"/>
    <w:rsid w:val="00031DF1"/>
    <w:rsid w:val="000322D1"/>
    <w:rsid w:val="0003278D"/>
    <w:rsid w:val="00033CD2"/>
    <w:rsid w:val="00034344"/>
    <w:rsid w:val="00034460"/>
    <w:rsid w:val="000358E8"/>
    <w:rsid w:val="00036970"/>
    <w:rsid w:val="000370E8"/>
    <w:rsid w:val="0003713E"/>
    <w:rsid w:val="00037562"/>
    <w:rsid w:val="0004144C"/>
    <w:rsid w:val="00041786"/>
    <w:rsid w:val="000418FE"/>
    <w:rsid w:val="000439B5"/>
    <w:rsid w:val="000450EF"/>
    <w:rsid w:val="00045C03"/>
    <w:rsid w:val="000461E2"/>
    <w:rsid w:val="00046762"/>
    <w:rsid w:val="00046DD6"/>
    <w:rsid w:val="000503C0"/>
    <w:rsid w:val="00052885"/>
    <w:rsid w:val="0005384D"/>
    <w:rsid w:val="00054DDC"/>
    <w:rsid w:val="00056772"/>
    <w:rsid w:val="00056DA1"/>
    <w:rsid w:val="00056E49"/>
    <w:rsid w:val="00057A7F"/>
    <w:rsid w:val="00057ECB"/>
    <w:rsid w:val="00060618"/>
    <w:rsid w:val="0006089F"/>
    <w:rsid w:val="000609ED"/>
    <w:rsid w:val="00060C04"/>
    <w:rsid w:val="00061192"/>
    <w:rsid w:val="00061B1D"/>
    <w:rsid w:val="000625A3"/>
    <w:rsid w:val="0006292E"/>
    <w:rsid w:val="000636A9"/>
    <w:rsid w:val="00063D8C"/>
    <w:rsid w:val="00064FC2"/>
    <w:rsid w:val="000659A6"/>
    <w:rsid w:val="000666FF"/>
    <w:rsid w:val="00066B91"/>
    <w:rsid w:val="00066C07"/>
    <w:rsid w:val="00067C94"/>
    <w:rsid w:val="00067E6C"/>
    <w:rsid w:val="00070AC6"/>
    <w:rsid w:val="00070C00"/>
    <w:rsid w:val="00071421"/>
    <w:rsid w:val="0007158E"/>
    <w:rsid w:val="00072B64"/>
    <w:rsid w:val="000738CF"/>
    <w:rsid w:val="00074F03"/>
    <w:rsid w:val="00075F55"/>
    <w:rsid w:val="00076AA2"/>
    <w:rsid w:val="00077351"/>
    <w:rsid w:val="00077578"/>
    <w:rsid w:val="00077AD0"/>
    <w:rsid w:val="00081F54"/>
    <w:rsid w:val="00081F6E"/>
    <w:rsid w:val="00082BF7"/>
    <w:rsid w:val="00082F4B"/>
    <w:rsid w:val="0008314A"/>
    <w:rsid w:val="00083250"/>
    <w:rsid w:val="000835E7"/>
    <w:rsid w:val="00083A7B"/>
    <w:rsid w:val="00083C45"/>
    <w:rsid w:val="00084F89"/>
    <w:rsid w:val="000856BD"/>
    <w:rsid w:val="00085860"/>
    <w:rsid w:val="000859FE"/>
    <w:rsid w:val="00085FAC"/>
    <w:rsid w:val="00087AF1"/>
    <w:rsid w:val="00087C6E"/>
    <w:rsid w:val="000907E1"/>
    <w:rsid w:val="00091352"/>
    <w:rsid w:val="000931AB"/>
    <w:rsid w:val="00093332"/>
    <w:rsid w:val="00094086"/>
    <w:rsid w:val="00094317"/>
    <w:rsid w:val="00094F29"/>
    <w:rsid w:val="00095ABF"/>
    <w:rsid w:val="00095D70"/>
    <w:rsid w:val="000961BB"/>
    <w:rsid w:val="00097307"/>
    <w:rsid w:val="00097486"/>
    <w:rsid w:val="00097AE9"/>
    <w:rsid w:val="000A08D7"/>
    <w:rsid w:val="000A0968"/>
    <w:rsid w:val="000A0B75"/>
    <w:rsid w:val="000A1203"/>
    <w:rsid w:val="000A13FF"/>
    <w:rsid w:val="000A1DD0"/>
    <w:rsid w:val="000A24FE"/>
    <w:rsid w:val="000A2E2E"/>
    <w:rsid w:val="000A3117"/>
    <w:rsid w:val="000A3C67"/>
    <w:rsid w:val="000A3CEA"/>
    <w:rsid w:val="000A3D0A"/>
    <w:rsid w:val="000A40CD"/>
    <w:rsid w:val="000A42CC"/>
    <w:rsid w:val="000A4A1D"/>
    <w:rsid w:val="000A4D34"/>
    <w:rsid w:val="000A52DD"/>
    <w:rsid w:val="000A53F0"/>
    <w:rsid w:val="000A58E3"/>
    <w:rsid w:val="000A62F2"/>
    <w:rsid w:val="000A6B46"/>
    <w:rsid w:val="000A6F87"/>
    <w:rsid w:val="000B12CB"/>
    <w:rsid w:val="000B1407"/>
    <w:rsid w:val="000B166B"/>
    <w:rsid w:val="000B4048"/>
    <w:rsid w:val="000B46BC"/>
    <w:rsid w:val="000B4815"/>
    <w:rsid w:val="000B498C"/>
    <w:rsid w:val="000B63AD"/>
    <w:rsid w:val="000B6C28"/>
    <w:rsid w:val="000B7A02"/>
    <w:rsid w:val="000B7B6A"/>
    <w:rsid w:val="000C014C"/>
    <w:rsid w:val="000C0671"/>
    <w:rsid w:val="000C1760"/>
    <w:rsid w:val="000C3837"/>
    <w:rsid w:val="000C3BF8"/>
    <w:rsid w:val="000C4156"/>
    <w:rsid w:val="000C46A6"/>
    <w:rsid w:val="000C4F2B"/>
    <w:rsid w:val="000C534B"/>
    <w:rsid w:val="000C5516"/>
    <w:rsid w:val="000C57A4"/>
    <w:rsid w:val="000C73D3"/>
    <w:rsid w:val="000C7C47"/>
    <w:rsid w:val="000D0423"/>
    <w:rsid w:val="000D16E8"/>
    <w:rsid w:val="000D2516"/>
    <w:rsid w:val="000D341B"/>
    <w:rsid w:val="000D43CE"/>
    <w:rsid w:val="000D462C"/>
    <w:rsid w:val="000D4648"/>
    <w:rsid w:val="000D4FD0"/>
    <w:rsid w:val="000D5D48"/>
    <w:rsid w:val="000E0B07"/>
    <w:rsid w:val="000E5D46"/>
    <w:rsid w:val="000E625A"/>
    <w:rsid w:val="000E6D41"/>
    <w:rsid w:val="000E738A"/>
    <w:rsid w:val="000F0C26"/>
    <w:rsid w:val="000F1CB4"/>
    <w:rsid w:val="000F2287"/>
    <w:rsid w:val="000F4130"/>
    <w:rsid w:val="000F54B6"/>
    <w:rsid w:val="000F5ACD"/>
    <w:rsid w:val="000F66D5"/>
    <w:rsid w:val="000F697D"/>
    <w:rsid w:val="000F6A2F"/>
    <w:rsid w:val="000F6CCD"/>
    <w:rsid w:val="001018CC"/>
    <w:rsid w:val="0010198A"/>
    <w:rsid w:val="00101E06"/>
    <w:rsid w:val="00102CAB"/>
    <w:rsid w:val="00103517"/>
    <w:rsid w:val="00103DF9"/>
    <w:rsid w:val="00104D3B"/>
    <w:rsid w:val="00105B85"/>
    <w:rsid w:val="00106DE0"/>
    <w:rsid w:val="00111C37"/>
    <w:rsid w:val="00111FC4"/>
    <w:rsid w:val="001129EE"/>
    <w:rsid w:val="00112B9D"/>
    <w:rsid w:val="00112F07"/>
    <w:rsid w:val="00112FA2"/>
    <w:rsid w:val="001142BD"/>
    <w:rsid w:val="00115CFF"/>
    <w:rsid w:val="001179E6"/>
    <w:rsid w:val="00120222"/>
    <w:rsid w:val="001223A8"/>
    <w:rsid w:val="001224F2"/>
    <w:rsid w:val="0012400E"/>
    <w:rsid w:val="00124481"/>
    <w:rsid w:val="0012600A"/>
    <w:rsid w:val="001264B4"/>
    <w:rsid w:val="00126870"/>
    <w:rsid w:val="001269C7"/>
    <w:rsid w:val="00126DF6"/>
    <w:rsid w:val="0012706F"/>
    <w:rsid w:val="00130002"/>
    <w:rsid w:val="001309BB"/>
    <w:rsid w:val="00131AD3"/>
    <w:rsid w:val="001333CE"/>
    <w:rsid w:val="00133978"/>
    <w:rsid w:val="00133AA7"/>
    <w:rsid w:val="00134259"/>
    <w:rsid w:val="0013426D"/>
    <w:rsid w:val="00135198"/>
    <w:rsid w:val="001353AF"/>
    <w:rsid w:val="00135D06"/>
    <w:rsid w:val="0013753D"/>
    <w:rsid w:val="001377BC"/>
    <w:rsid w:val="00137C9E"/>
    <w:rsid w:val="001448D9"/>
    <w:rsid w:val="0014674E"/>
    <w:rsid w:val="00146FA4"/>
    <w:rsid w:val="00147ACC"/>
    <w:rsid w:val="00147BC5"/>
    <w:rsid w:val="00151371"/>
    <w:rsid w:val="00152713"/>
    <w:rsid w:val="0015271F"/>
    <w:rsid w:val="0015280B"/>
    <w:rsid w:val="0015336C"/>
    <w:rsid w:val="001543C2"/>
    <w:rsid w:val="0015458C"/>
    <w:rsid w:val="00154AA0"/>
    <w:rsid w:val="00154F85"/>
    <w:rsid w:val="00155268"/>
    <w:rsid w:val="00155C4C"/>
    <w:rsid w:val="00155D0A"/>
    <w:rsid w:val="00157B4B"/>
    <w:rsid w:val="001620F8"/>
    <w:rsid w:val="001628A9"/>
    <w:rsid w:val="00162BD7"/>
    <w:rsid w:val="0016346E"/>
    <w:rsid w:val="00164E76"/>
    <w:rsid w:val="00165E0E"/>
    <w:rsid w:val="00165E98"/>
    <w:rsid w:val="00166104"/>
    <w:rsid w:val="001666DA"/>
    <w:rsid w:val="0016707F"/>
    <w:rsid w:val="001676F6"/>
    <w:rsid w:val="001726B8"/>
    <w:rsid w:val="0017275E"/>
    <w:rsid w:val="00172C09"/>
    <w:rsid w:val="00173206"/>
    <w:rsid w:val="001733A3"/>
    <w:rsid w:val="0017344E"/>
    <w:rsid w:val="001745F3"/>
    <w:rsid w:val="001752E6"/>
    <w:rsid w:val="001757C5"/>
    <w:rsid w:val="00175DA3"/>
    <w:rsid w:val="00175FE1"/>
    <w:rsid w:val="00176195"/>
    <w:rsid w:val="001767EC"/>
    <w:rsid w:val="00176D5C"/>
    <w:rsid w:val="0017756E"/>
    <w:rsid w:val="00180ADF"/>
    <w:rsid w:val="001811A9"/>
    <w:rsid w:val="00182E42"/>
    <w:rsid w:val="00183692"/>
    <w:rsid w:val="001847FF"/>
    <w:rsid w:val="0019048B"/>
    <w:rsid w:val="00190B83"/>
    <w:rsid w:val="001912DE"/>
    <w:rsid w:val="001917A9"/>
    <w:rsid w:val="001945D3"/>
    <w:rsid w:val="001948F0"/>
    <w:rsid w:val="00194A48"/>
    <w:rsid w:val="0019574B"/>
    <w:rsid w:val="001969FA"/>
    <w:rsid w:val="00196A0C"/>
    <w:rsid w:val="001A03B4"/>
    <w:rsid w:val="001A03EB"/>
    <w:rsid w:val="001A0671"/>
    <w:rsid w:val="001A08AF"/>
    <w:rsid w:val="001A0D45"/>
    <w:rsid w:val="001A1417"/>
    <w:rsid w:val="001A3051"/>
    <w:rsid w:val="001A3DD9"/>
    <w:rsid w:val="001A418A"/>
    <w:rsid w:val="001A4222"/>
    <w:rsid w:val="001A432B"/>
    <w:rsid w:val="001A46B9"/>
    <w:rsid w:val="001A5650"/>
    <w:rsid w:val="001A79BB"/>
    <w:rsid w:val="001A7CB5"/>
    <w:rsid w:val="001B00F0"/>
    <w:rsid w:val="001B0B97"/>
    <w:rsid w:val="001B0C78"/>
    <w:rsid w:val="001B11B6"/>
    <w:rsid w:val="001B2F50"/>
    <w:rsid w:val="001B5660"/>
    <w:rsid w:val="001B5680"/>
    <w:rsid w:val="001B776E"/>
    <w:rsid w:val="001B7903"/>
    <w:rsid w:val="001C0062"/>
    <w:rsid w:val="001C0E5F"/>
    <w:rsid w:val="001C1096"/>
    <w:rsid w:val="001C15B4"/>
    <w:rsid w:val="001C1A3B"/>
    <w:rsid w:val="001C1C8C"/>
    <w:rsid w:val="001C3D07"/>
    <w:rsid w:val="001C564D"/>
    <w:rsid w:val="001C5A41"/>
    <w:rsid w:val="001C5CCF"/>
    <w:rsid w:val="001C634F"/>
    <w:rsid w:val="001C64E1"/>
    <w:rsid w:val="001C6591"/>
    <w:rsid w:val="001D0247"/>
    <w:rsid w:val="001D1008"/>
    <w:rsid w:val="001D1251"/>
    <w:rsid w:val="001D1464"/>
    <w:rsid w:val="001D23DD"/>
    <w:rsid w:val="001D2867"/>
    <w:rsid w:val="001D4A0B"/>
    <w:rsid w:val="001D530C"/>
    <w:rsid w:val="001D54BB"/>
    <w:rsid w:val="001D6A0C"/>
    <w:rsid w:val="001E0E79"/>
    <w:rsid w:val="001E1A15"/>
    <w:rsid w:val="001E32EB"/>
    <w:rsid w:val="001E3522"/>
    <w:rsid w:val="001E3BD9"/>
    <w:rsid w:val="001E4801"/>
    <w:rsid w:val="001E57E3"/>
    <w:rsid w:val="001E64FD"/>
    <w:rsid w:val="001E744C"/>
    <w:rsid w:val="001F0352"/>
    <w:rsid w:val="001F0689"/>
    <w:rsid w:val="001F0D42"/>
    <w:rsid w:val="001F18D4"/>
    <w:rsid w:val="001F2DBB"/>
    <w:rsid w:val="001F3977"/>
    <w:rsid w:val="001F4617"/>
    <w:rsid w:val="001F5285"/>
    <w:rsid w:val="001F62EE"/>
    <w:rsid w:val="001F6585"/>
    <w:rsid w:val="001F65B7"/>
    <w:rsid w:val="001F6D16"/>
    <w:rsid w:val="001F7061"/>
    <w:rsid w:val="001F7338"/>
    <w:rsid w:val="001F76E9"/>
    <w:rsid w:val="00202965"/>
    <w:rsid w:val="00203041"/>
    <w:rsid w:val="0020316A"/>
    <w:rsid w:val="00203236"/>
    <w:rsid w:val="00204880"/>
    <w:rsid w:val="00205269"/>
    <w:rsid w:val="00205803"/>
    <w:rsid w:val="00206148"/>
    <w:rsid w:val="00206656"/>
    <w:rsid w:val="00210194"/>
    <w:rsid w:val="0021073C"/>
    <w:rsid w:val="0021112B"/>
    <w:rsid w:val="0021148F"/>
    <w:rsid w:val="00212210"/>
    <w:rsid w:val="00212E5A"/>
    <w:rsid w:val="00214083"/>
    <w:rsid w:val="0021543F"/>
    <w:rsid w:val="00215639"/>
    <w:rsid w:val="002160B2"/>
    <w:rsid w:val="0021640D"/>
    <w:rsid w:val="002164CA"/>
    <w:rsid w:val="00217A35"/>
    <w:rsid w:val="00220130"/>
    <w:rsid w:val="0022062E"/>
    <w:rsid w:val="0022157F"/>
    <w:rsid w:val="00222B5A"/>
    <w:rsid w:val="002230A6"/>
    <w:rsid w:val="00223270"/>
    <w:rsid w:val="002246C8"/>
    <w:rsid w:val="00225A43"/>
    <w:rsid w:val="00226895"/>
    <w:rsid w:val="0022756A"/>
    <w:rsid w:val="00227C97"/>
    <w:rsid w:val="0023270E"/>
    <w:rsid w:val="00232CE2"/>
    <w:rsid w:val="00233783"/>
    <w:rsid w:val="00233B3F"/>
    <w:rsid w:val="00234BA1"/>
    <w:rsid w:val="00235C64"/>
    <w:rsid w:val="00235D3F"/>
    <w:rsid w:val="00236418"/>
    <w:rsid w:val="00240B3D"/>
    <w:rsid w:val="002434CA"/>
    <w:rsid w:val="00244436"/>
    <w:rsid w:val="00246743"/>
    <w:rsid w:val="002468A6"/>
    <w:rsid w:val="00247636"/>
    <w:rsid w:val="00247C78"/>
    <w:rsid w:val="00250EC6"/>
    <w:rsid w:val="00252584"/>
    <w:rsid w:val="002526F6"/>
    <w:rsid w:val="00253409"/>
    <w:rsid w:val="00254276"/>
    <w:rsid w:val="002542AA"/>
    <w:rsid w:val="0025583F"/>
    <w:rsid w:val="00255BA2"/>
    <w:rsid w:val="0025663F"/>
    <w:rsid w:val="00256D0B"/>
    <w:rsid w:val="00257145"/>
    <w:rsid w:val="0025795D"/>
    <w:rsid w:val="00261950"/>
    <w:rsid w:val="00261D1F"/>
    <w:rsid w:val="00262FA9"/>
    <w:rsid w:val="00263D20"/>
    <w:rsid w:val="002648B4"/>
    <w:rsid w:val="00264924"/>
    <w:rsid w:val="00265781"/>
    <w:rsid w:val="002659D5"/>
    <w:rsid w:val="00267A30"/>
    <w:rsid w:val="00267E19"/>
    <w:rsid w:val="00270DB5"/>
    <w:rsid w:val="002710A9"/>
    <w:rsid w:val="00272BB2"/>
    <w:rsid w:val="00275A0A"/>
    <w:rsid w:val="00276FC1"/>
    <w:rsid w:val="002801A5"/>
    <w:rsid w:val="0028043B"/>
    <w:rsid w:val="0028072B"/>
    <w:rsid w:val="00280CB7"/>
    <w:rsid w:val="00280EB8"/>
    <w:rsid w:val="00281BF1"/>
    <w:rsid w:val="002821E1"/>
    <w:rsid w:val="0028254B"/>
    <w:rsid w:val="00282A3A"/>
    <w:rsid w:val="0028391A"/>
    <w:rsid w:val="0028425B"/>
    <w:rsid w:val="0028448E"/>
    <w:rsid w:val="00286831"/>
    <w:rsid w:val="0028776F"/>
    <w:rsid w:val="00291EBD"/>
    <w:rsid w:val="002922D4"/>
    <w:rsid w:val="00292E2E"/>
    <w:rsid w:val="0029570D"/>
    <w:rsid w:val="00295F94"/>
    <w:rsid w:val="00296D1F"/>
    <w:rsid w:val="00296D4A"/>
    <w:rsid w:val="00297175"/>
    <w:rsid w:val="002972C6"/>
    <w:rsid w:val="00297370"/>
    <w:rsid w:val="00297B4A"/>
    <w:rsid w:val="002A1CEF"/>
    <w:rsid w:val="002A24DE"/>
    <w:rsid w:val="002A33C4"/>
    <w:rsid w:val="002A593F"/>
    <w:rsid w:val="002A5DB1"/>
    <w:rsid w:val="002A5E49"/>
    <w:rsid w:val="002A79B9"/>
    <w:rsid w:val="002A7ADB"/>
    <w:rsid w:val="002A7E70"/>
    <w:rsid w:val="002B0008"/>
    <w:rsid w:val="002B2CFC"/>
    <w:rsid w:val="002B38B7"/>
    <w:rsid w:val="002B5F00"/>
    <w:rsid w:val="002B6347"/>
    <w:rsid w:val="002B6E30"/>
    <w:rsid w:val="002B70C1"/>
    <w:rsid w:val="002B7EB2"/>
    <w:rsid w:val="002C0F36"/>
    <w:rsid w:val="002C1847"/>
    <w:rsid w:val="002C350A"/>
    <w:rsid w:val="002C3543"/>
    <w:rsid w:val="002C3F73"/>
    <w:rsid w:val="002C4C69"/>
    <w:rsid w:val="002C5707"/>
    <w:rsid w:val="002C6702"/>
    <w:rsid w:val="002C7070"/>
    <w:rsid w:val="002D0528"/>
    <w:rsid w:val="002D1497"/>
    <w:rsid w:val="002D199D"/>
    <w:rsid w:val="002D2506"/>
    <w:rsid w:val="002D28EF"/>
    <w:rsid w:val="002D2BA5"/>
    <w:rsid w:val="002D39AE"/>
    <w:rsid w:val="002D46C0"/>
    <w:rsid w:val="002D4A13"/>
    <w:rsid w:val="002D4E62"/>
    <w:rsid w:val="002D4FC2"/>
    <w:rsid w:val="002D5B11"/>
    <w:rsid w:val="002D6C36"/>
    <w:rsid w:val="002D71E6"/>
    <w:rsid w:val="002D75C6"/>
    <w:rsid w:val="002D76E0"/>
    <w:rsid w:val="002D7927"/>
    <w:rsid w:val="002D7C96"/>
    <w:rsid w:val="002E0564"/>
    <w:rsid w:val="002E056B"/>
    <w:rsid w:val="002E0FB0"/>
    <w:rsid w:val="002E1185"/>
    <w:rsid w:val="002E14BE"/>
    <w:rsid w:val="002E228B"/>
    <w:rsid w:val="002E264B"/>
    <w:rsid w:val="002E391C"/>
    <w:rsid w:val="002E39D6"/>
    <w:rsid w:val="002E3F02"/>
    <w:rsid w:val="002E574E"/>
    <w:rsid w:val="002E77C9"/>
    <w:rsid w:val="002E78D6"/>
    <w:rsid w:val="002F0909"/>
    <w:rsid w:val="002F32E4"/>
    <w:rsid w:val="002F39CB"/>
    <w:rsid w:val="002F41EC"/>
    <w:rsid w:val="002F42DD"/>
    <w:rsid w:val="002F44C1"/>
    <w:rsid w:val="002F53AA"/>
    <w:rsid w:val="002F656F"/>
    <w:rsid w:val="00300B7C"/>
    <w:rsid w:val="00304690"/>
    <w:rsid w:val="00304900"/>
    <w:rsid w:val="00305595"/>
    <w:rsid w:val="003062EC"/>
    <w:rsid w:val="00306B6B"/>
    <w:rsid w:val="003070B2"/>
    <w:rsid w:val="003072D9"/>
    <w:rsid w:val="00307385"/>
    <w:rsid w:val="00307D0F"/>
    <w:rsid w:val="0031056A"/>
    <w:rsid w:val="00312347"/>
    <w:rsid w:val="003123E0"/>
    <w:rsid w:val="003145CF"/>
    <w:rsid w:val="003145E2"/>
    <w:rsid w:val="00314CF7"/>
    <w:rsid w:val="003150D1"/>
    <w:rsid w:val="003151C5"/>
    <w:rsid w:val="00315A85"/>
    <w:rsid w:val="00315BB6"/>
    <w:rsid w:val="0031665D"/>
    <w:rsid w:val="003168DA"/>
    <w:rsid w:val="00316E5E"/>
    <w:rsid w:val="003171E1"/>
    <w:rsid w:val="00317614"/>
    <w:rsid w:val="00320845"/>
    <w:rsid w:val="0032098E"/>
    <w:rsid w:val="00321BEF"/>
    <w:rsid w:val="00321D3A"/>
    <w:rsid w:val="003223EF"/>
    <w:rsid w:val="0032436B"/>
    <w:rsid w:val="00324F88"/>
    <w:rsid w:val="0032566E"/>
    <w:rsid w:val="00330189"/>
    <w:rsid w:val="00330B05"/>
    <w:rsid w:val="003319BD"/>
    <w:rsid w:val="00331A07"/>
    <w:rsid w:val="00331EC5"/>
    <w:rsid w:val="00331FF4"/>
    <w:rsid w:val="003324A0"/>
    <w:rsid w:val="003333F9"/>
    <w:rsid w:val="00335124"/>
    <w:rsid w:val="00335269"/>
    <w:rsid w:val="003358A2"/>
    <w:rsid w:val="00335FF7"/>
    <w:rsid w:val="0033675E"/>
    <w:rsid w:val="00340689"/>
    <w:rsid w:val="003407CC"/>
    <w:rsid w:val="00340C5F"/>
    <w:rsid w:val="00341B89"/>
    <w:rsid w:val="00341D9C"/>
    <w:rsid w:val="003431BE"/>
    <w:rsid w:val="00343C1C"/>
    <w:rsid w:val="00343E48"/>
    <w:rsid w:val="003449AB"/>
    <w:rsid w:val="00344E4D"/>
    <w:rsid w:val="00345FB7"/>
    <w:rsid w:val="003477B3"/>
    <w:rsid w:val="003479EB"/>
    <w:rsid w:val="00347BC6"/>
    <w:rsid w:val="00350C04"/>
    <w:rsid w:val="00351033"/>
    <w:rsid w:val="00351CD1"/>
    <w:rsid w:val="00351F3E"/>
    <w:rsid w:val="00352B0B"/>
    <w:rsid w:val="0035599E"/>
    <w:rsid w:val="003570F5"/>
    <w:rsid w:val="003572C2"/>
    <w:rsid w:val="00357F95"/>
    <w:rsid w:val="00360A5E"/>
    <w:rsid w:val="00360D39"/>
    <w:rsid w:val="00363D34"/>
    <w:rsid w:val="00365215"/>
    <w:rsid w:val="003656A0"/>
    <w:rsid w:val="00366059"/>
    <w:rsid w:val="00366852"/>
    <w:rsid w:val="00370705"/>
    <w:rsid w:val="003716B2"/>
    <w:rsid w:val="00371885"/>
    <w:rsid w:val="00372B89"/>
    <w:rsid w:val="0037344F"/>
    <w:rsid w:val="0037371B"/>
    <w:rsid w:val="00374E8D"/>
    <w:rsid w:val="0037531B"/>
    <w:rsid w:val="00375C9B"/>
    <w:rsid w:val="003806BE"/>
    <w:rsid w:val="00380A5D"/>
    <w:rsid w:val="00381FA3"/>
    <w:rsid w:val="003821EB"/>
    <w:rsid w:val="00383243"/>
    <w:rsid w:val="003845DF"/>
    <w:rsid w:val="00384E98"/>
    <w:rsid w:val="00385480"/>
    <w:rsid w:val="003866B1"/>
    <w:rsid w:val="003867D8"/>
    <w:rsid w:val="00386A0C"/>
    <w:rsid w:val="003904CB"/>
    <w:rsid w:val="00391AB8"/>
    <w:rsid w:val="0039223B"/>
    <w:rsid w:val="003922DD"/>
    <w:rsid w:val="003930F2"/>
    <w:rsid w:val="0039396E"/>
    <w:rsid w:val="003945B3"/>
    <w:rsid w:val="00394755"/>
    <w:rsid w:val="00397410"/>
    <w:rsid w:val="003A1438"/>
    <w:rsid w:val="003A203C"/>
    <w:rsid w:val="003A2661"/>
    <w:rsid w:val="003A28F8"/>
    <w:rsid w:val="003A3139"/>
    <w:rsid w:val="003A3378"/>
    <w:rsid w:val="003A6636"/>
    <w:rsid w:val="003A70D6"/>
    <w:rsid w:val="003A7943"/>
    <w:rsid w:val="003B08AB"/>
    <w:rsid w:val="003B0E28"/>
    <w:rsid w:val="003B145D"/>
    <w:rsid w:val="003B22DB"/>
    <w:rsid w:val="003B420E"/>
    <w:rsid w:val="003B6AD0"/>
    <w:rsid w:val="003B6F22"/>
    <w:rsid w:val="003C08B3"/>
    <w:rsid w:val="003C13B6"/>
    <w:rsid w:val="003C19BD"/>
    <w:rsid w:val="003C1E76"/>
    <w:rsid w:val="003C2202"/>
    <w:rsid w:val="003C2B91"/>
    <w:rsid w:val="003C3185"/>
    <w:rsid w:val="003C3979"/>
    <w:rsid w:val="003C4DD2"/>
    <w:rsid w:val="003C713C"/>
    <w:rsid w:val="003D103A"/>
    <w:rsid w:val="003D1859"/>
    <w:rsid w:val="003D1C4B"/>
    <w:rsid w:val="003D2751"/>
    <w:rsid w:val="003D2878"/>
    <w:rsid w:val="003D3543"/>
    <w:rsid w:val="003D4069"/>
    <w:rsid w:val="003D42A9"/>
    <w:rsid w:val="003D45AD"/>
    <w:rsid w:val="003D468E"/>
    <w:rsid w:val="003D7BAB"/>
    <w:rsid w:val="003E063F"/>
    <w:rsid w:val="003E0E26"/>
    <w:rsid w:val="003E19BC"/>
    <w:rsid w:val="003E19EA"/>
    <w:rsid w:val="003E1AF1"/>
    <w:rsid w:val="003E1BE7"/>
    <w:rsid w:val="003E232A"/>
    <w:rsid w:val="003E3073"/>
    <w:rsid w:val="003E39BF"/>
    <w:rsid w:val="003E4EBA"/>
    <w:rsid w:val="003E4EBF"/>
    <w:rsid w:val="003E5CB0"/>
    <w:rsid w:val="003E5CD2"/>
    <w:rsid w:val="003E5DBE"/>
    <w:rsid w:val="003E66B7"/>
    <w:rsid w:val="003E7EFE"/>
    <w:rsid w:val="003F0238"/>
    <w:rsid w:val="003F1A47"/>
    <w:rsid w:val="003F2EE2"/>
    <w:rsid w:val="003F3446"/>
    <w:rsid w:val="003F51E6"/>
    <w:rsid w:val="003F5BE9"/>
    <w:rsid w:val="003F5E50"/>
    <w:rsid w:val="004002F5"/>
    <w:rsid w:val="0040079B"/>
    <w:rsid w:val="00400E08"/>
    <w:rsid w:val="00401335"/>
    <w:rsid w:val="004014F6"/>
    <w:rsid w:val="0040195B"/>
    <w:rsid w:val="00403C48"/>
    <w:rsid w:val="0040450B"/>
    <w:rsid w:val="00404B68"/>
    <w:rsid w:val="00405A80"/>
    <w:rsid w:val="004062D6"/>
    <w:rsid w:val="00406B15"/>
    <w:rsid w:val="00406B31"/>
    <w:rsid w:val="00407115"/>
    <w:rsid w:val="00407570"/>
    <w:rsid w:val="00407F09"/>
    <w:rsid w:val="004100A1"/>
    <w:rsid w:val="00411B83"/>
    <w:rsid w:val="00412D63"/>
    <w:rsid w:val="00413252"/>
    <w:rsid w:val="00413E9B"/>
    <w:rsid w:val="004147A5"/>
    <w:rsid w:val="00415601"/>
    <w:rsid w:val="00415D1F"/>
    <w:rsid w:val="00415D67"/>
    <w:rsid w:val="004166D1"/>
    <w:rsid w:val="004166E1"/>
    <w:rsid w:val="00416E3F"/>
    <w:rsid w:val="004176EE"/>
    <w:rsid w:val="00417B4A"/>
    <w:rsid w:val="004201AD"/>
    <w:rsid w:val="00420F46"/>
    <w:rsid w:val="004211A7"/>
    <w:rsid w:val="004212E0"/>
    <w:rsid w:val="00421F84"/>
    <w:rsid w:val="0042221C"/>
    <w:rsid w:val="00422246"/>
    <w:rsid w:val="004226E1"/>
    <w:rsid w:val="00423CE7"/>
    <w:rsid w:val="00424099"/>
    <w:rsid w:val="004266B8"/>
    <w:rsid w:val="00426AB1"/>
    <w:rsid w:val="0042735F"/>
    <w:rsid w:val="004273F2"/>
    <w:rsid w:val="0042749B"/>
    <w:rsid w:val="0043006A"/>
    <w:rsid w:val="0043023B"/>
    <w:rsid w:val="00431182"/>
    <w:rsid w:val="00431424"/>
    <w:rsid w:val="00431A26"/>
    <w:rsid w:val="004334F2"/>
    <w:rsid w:val="004342B5"/>
    <w:rsid w:val="004344A8"/>
    <w:rsid w:val="00434A76"/>
    <w:rsid w:val="00440193"/>
    <w:rsid w:val="00440A0C"/>
    <w:rsid w:val="00440ECF"/>
    <w:rsid w:val="00441AC3"/>
    <w:rsid w:val="004429B4"/>
    <w:rsid w:val="00442ABE"/>
    <w:rsid w:val="00444064"/>
    <w:rsid w:val="0045064C"/>
    <w:rsid w:val="00451701"/>
    <w:rsid w:val="00451C13"/>
    <w:rsid w:val="00451C40"/>
    <w:rsid w:val="004531EF"/>
    <w:rsid w:val="004537BB"/>
    <w:rsid w:val="0045477D"/>
    <w:rsid w:val="0045529C"/>
    <w:rsid w:val="004552F4"/>
    <w:rsid w:val="00455964"/>
    <w:rsid w:val="0045665F"/>
    <w:rsid w:val="004572F6"/>
    <w:rsid w:val="0045742A"/>
    <w:rsid w:val="00457842"/>
    <w:rsid w:val="00460641"/>
    <w:rsid w:val="00460ABC"/>
    <w:rsid w:val="00460DB5"/>
    <w:rsid w:val="004625C0"/>
    <w:rsid w:val="00462FBD"/>
    <w:rsid w:val="00463642"/>
    <w:rsid w:val="00463668"/>
    <w:rsid w:val="004640EA"/>
    <w:rsid w:val="004643D5"/>
    <w:rsid w:val="00464FC3"/>
    <w:rsid w:val="004653BA"/>
    <w:rsid w:val="00465B81"/>
    <w:rsid w:val="004673BF"/>
    <w:rsid w:val="004678D0"/>
    <w:rsid w:val="00467A2D"/>
    <w:rsid w:val="00470C8E"/>
    <w:rsid w:val="004714D5"/>
    <w:rsid w:val="00471CE4"/>
    <w:rsid w:val="00472940"/>
    <w:rsid w:val="004733A2"/>
    <w:rsid w:val="00473975"/>
    <w:rsid w:val="004742D2"/>
    <w:rsid w:val="0047467E"/>
    <w:rsid w:val="00475023"/>
    <w:rsid w:val="004757BD"/>
    <w:rsid w:val="00476051"/>
    <w:rsid w:val="0047724B"/>
    <w:rsid w:val="004775CA"/>
    <w:rsid w:val="00477C3E"/>
    <w:rsid w:val="00477E62"/>
    <w:rsid w:val="00477F74"/>
    <w:rsid w:val="00480239"/>
    <w:rsid w:val="0048035A"/>
    <w:rsid w:val="00480CCC"/>
    <w:rsid w:val="00481183"/>
    <w:rsid w:val="00481C5E"/>
    <w:rsid w:val="00482084"/>
    <w:rsid w:val="00482625"/>
    <w:rsid w:val="00482B8E"/>
    <w:rsid w:val="00482D0B"/>
    <w:rsid w:val="00482EC3"/>
    <w:rsid w:val="00484821"/>
    <w:rsid w:val="004848FE"/>
    <w:rsid w:val="0048592C"/>
    <w:rsid w:val="00486C5E"/>
    <w:rsid w:val="00487E55"/>
    <w:rsid w:val="0049061F"/>
    <w:rsid w:val="004906FA"/>
    <w:rsid w:val="00490E6B"/>
    <w:rsid w:val="00491B29"/>
    <w:rsid w:val="00491CDE"/>
    <w:rsid w:val="004923D5"/>
    <w:rsid w:val="00492E98"/>
    <w:rsid w:val="0049380C"/>
    <w:rsid w:val="00493EC4"/>
    <w:rsid w:val="004952EA"/>
    <w:rsid w:val="004958AB"/>
    <w:rsid w:val="004975FC"/>
    <w:rsid w:val="004A086F"/>
    <w:rsid w:val="004A14D8"/>
    <w:rsid w:val="004A1EF9"/>
    <w:rsid w:val="004A2191"/>
    <w:rsid w:val="004A2211"/>
    <w:rsid w:val="004A32E9"/>
    <w:rsid w:val="004A3942"/>
    <w:rsid w:val="004A451E"/>
    <w:rsid w:val="004A4CD0"/>
    <w:rsid w:val="004A4FC8"/>
    <w:rsid w:val="004A5199"/>
    <w:rsid w:val="004A55B9"/>
    <w:rsid w:val="004A6205"/>
    <w:rsid w:val="004A6F32"/>
    <w:rsid w:val="004A79D2"/>
    <w:rsid w:val="004B194C"/>
    <w:rsid w:val="004B1FEB"/>
    <w:rsid w:val="004B37C0"/>
    <w:rsid w:val="004B4A04"/>
    <w:rsid w:val="004B52AA"/>
    <w:rsid w:val="004B5679"/>
    <w:rsid w:val="004B5EA0"/>
    <w:rsid w:val="004B7EEC"/>
    <w:rsid w:val="004C14F8"/>
    <w:rsid w:val="004C1FD1"/>
    <w:rsid w:val="004C3DF8"/>
    <w:rsid w:val="004C3E42"/>
    <w:rsid w:val="004C4A4D"/>
    <w:rsid w:val="004C515D"/>
    <w:rsid w:val="004C528B"/>
    <w:rsid w:val="004C5946"/>
    <w:rsid w:val="004C5AC4"/>
    <w:rsid w:val="004C63D3"/>
    <w:rsid w:val="004C6410"/>
    <w:rsid w:val="004C7513"/>
    <w:rsid w:val="004C7EFA"/>
    <w:rsid w:val="004D07FA"/>
    <w:rsid w:val="004D1C2E"/>
    <w:rsid w:val="004D22FD"/>
    <w:rsid w:val="004D308F"/>
    <w:rsid w:val="004D310C"/>
    <w:rsid w:val="004D31D5"/>
    <w:rsid w:val="004D37DC"/>
    <w:rsid w:val="004D42D0"/>
    <w:rsid w:val="004D4BFE"/>
    <w:rsid w:val="004D4F6B"/>
    <w:rsid w:val="004D4F76"/>
    <w:rsid w:val="004D5102"/>
    <w:rsid w:val="004D597A"/>
    <w:rsid w:val="004D629D"/>
    <w:rsid w:val="004D6771"/>
    <w:rsid w:val="004D6784"/>
    <w:rsid w:val="004E1238"/>
    <w:rsid w:val="004E1432"/>
    <w:rsid w:val="004E1A97"/>
    <w:rsid w:val="004E1AA4"/>
    <w:rsid w:val="004E2AE4"/>
    <w:rsid w:val="004E3821"/>
    <w:rsid w:val="004E3890"/>
    <w:rsid w:val="004E39F5"/>
    <w:rsid w:val="004E57E0"/>
    <w:rsid w:val="004E5B12"/>
    <w:rsid w:val="004E5F8B"/>
    <w:rsid w:val="004E72B6"/>
    <w:rsid w:val="004E72BA"/>
    <w:rsid w:val="004F0A88"/>
    <w:rsid w:val="004F2ACD"/>
    <w:rsid w:val="004F4E0A"/>
    <w:rsid w:val="004F4E2B"/>
    <w:rsid w:val="004F53B3"/>
    <w:rsid w:val="004F598B"/>
    <w:rsid w:val="004F5AAD"/>
    <w:rsid w:val="004F5B7B"/>
    <w:rsid w:val="005001C2"/>
    <w:rsid w:val="005007B6"/>
    <w:rsid w:val="0050083B"/>
    <w:rsid w:val="005026C3"/>
    <w:rsid w:val="00504172"/>
    <w:rsid w:val="00504FDF"/>
    <w:rsid w:val="00505776"/>
    <w:rsid w:val="0050698D"/>
    <w:rsid w:val="00510B82"/>
    <w:rsid w:val="00511073"/>
    <w:rsid w:val="00511D5B"/>
    <w:rsid w:val="00512082"/>
    <w:rsid w:val="00512C6F"/>
    <w:rsid w:val="00512F75"/>
    <w:rsid w:val="005139F2"/>
    <w:rsid w:val="00515BFB"/>
    <w:rsid w:val="005169F6"/>
    <w:rsid w:val="00516A4B"/>
    <w:rsid w:val="005173FA"/>
    <w:rsid w:val="00520B5A"/>
    <w:rsid w:val="0052381F"/>
    <w:rsid w:val="00525BB2"/>
    <w:rsid w:val="00525C45"/>
    <w:rsid w:val="00525C62"/>
    <w:rsid w:val="00525D6D"/>
    <w:rsid w:val="0052600B"/>
    <w:rsid w:val="0052746C"/>
    <w:rsid w:val="005278E7"/>
    <w:rsid w:val="00530B4A"/>
    <w:rsid w:val="00530B8A"/>
    <w:rsid w:val="0053125F"/>
    <w:rsid w:val="005328EC"/>
    <w:rsid w:val="00533AB6"/>
    <w:rsid w:val="00533B6E"/>
    <w:rsid w:val="0053507F"/>
    <w:rsid w:val="00535653"/>
    <w:rsid w:val="00536D6D"/>
    <w:rsid w:val="00537594"/>
    <w:rsid w:val="00537C04"/>
    <w:rsid w:val="005400C5"/>
    <w:rsid w:val="00541DCC"/>
    <w:rsid w:val="00542936"/>
    <w:rsid w:val="00542B1E"/>
    <w:rsid w:val="00542EAB"/>
    <w:rsid w:val="00543547"/>
    <w:rsid w:val="005438EE"/>
    <w:rsid w:val="00543A7E"/>
    <w:rsid w:val="005446F8"/>
    <w:rsid w:val="005452DE"/>
    <w:rsid w:val="005466E9"/>
    <w:rsid w:val="00546F36"/>
    <w:rsid w:val="0054782E"/>
    <w:rsid w:val="00552BB2"/>
    <w:rsid w:val="00553F36"/>
    <w:rsid w:val="005542E4"/>
    <w:rsid w:val="005547D5"/>
    <w:rsid w:val="00555B57"/>
    <w:rsid w:val="00557F93"/>
    <w:rsid w:val="005607C9"/>
    <w:rsid w:val="00560CE8"/>
    <w:rsid w:val="005620C4"/>
    <w:rsid w:val="00562531"/>
    <w:rsid w:val="00563BFE"/>
    <w:rsid w:val="00563F1D"/>
    <w:rsid w:val="00564D45"/>
    <w:rsid w:val="00565766"/>
    <w:rsid w:val="005661BC"/>
    <w:rsid w:val="0056638D"/>
    <w:rsid w:val="005665EA"/>
    <w:rsid w:val="0057049C"/>
    <w:rsid w:val="00570937"/>
    <w:rsid w:val="00570BB1"/>
    <w:rsid w:val="00571200"/>
    <w:rsid w:val="00571B15"/>
    <w:rsid w:val="00572712"/>
    <w:rsid w:val="00572727"/>
    <w:rsid w:val="00572815"/>
    <w:rsid w:val="0057332D"/>
    <w:rsid w:val="00573D70"/>
    <w:rsid w:val="00573EF1"/>
    <w:rsid w:val="00573EFC"/>
    <w:rsid w:val="0057517D"/>
    <w:rsid w:val="005758EB"/>
    <w:rsid w:val="00577565"/>
    <w:rsid w:val="005779C9"/>
    <w:rsid w:val="0058123C"/>
    <w:rsid w:val="0058354F"/>
    <w:rsid w:val="00585C01"/>
    <w:rsid w:val="005860A8"/>
    <w:rsid w:val="00587303"/>
    <w:rsid w:val="005875AC"/>
    <w:rsid w:val="00587A5C"/>
    <w:rsid w:val="00587B61"/>
    <w:rsid w:val="00587C54"/>
    <w:rsid w:val="0059061A"/>
    <w:rsid w:val="005906DC"/>
    <w:rsid w:val="00591875"/>
    <w:rsid w:val="00591B77"/>
    <w:rsid w:val="00591C7F"/>
    <w:rsid w:val="00592BA5"/>
    <w:rsid w:val="00593EDC"/>
    <w:rsid w:val="00594A67"/>
    <w:rsid w:val="00594CAC"/>
    <w:rsid w:val="00594F55"/>
    <w:rsid w:val="00595CE3"/>
    <w:rsid w:val="00595D60"/>
    <w:rsid w:val="00596BAC"/>
    <w:rsid w:val="005A18BF"/>
    <w:rsid w:val="005A22C0"/>
    <w:rsid w:val="005A2639"/>
    <w:rsid w:val="005A2934"/>
    <w:rsid w:val="005A2AE6"/>
    <w:rsid w:val="005A367B"/>
    <w:rsid w:val="005A38ED"/>
    <w:rsid w:val="005A4C8A"/>
    <w:rsid w:val="005A549B"/>
    <w:rsid w:val="005A57A4"/>
    <w:rsid w:val="005A57A8"/>
    <w:rsid w:val="005A67EA"/>
    <w:rsid w:val="005A7DE4"/>
    <w:rsid w:val="005A7DE8"/>
    <w:rsid w:val="005B0DF9"/>
    <w:rsid w:val="005B2877"/>
    <w:rsid w:val="005B2BF0"/>
    <w:rsid w:val="005B401A"/>
    <w:rsid w:val="005B4779"/>
    <w:rsid w:val="005B5AD2"/>
    <w:rsid w:val="005B64D7"/>
    <w:rsid w:val="005B6A76"/>
    <w:rsid w:val="005B6BE7"/>
    <w:rsid w:val="005B79F3"/>
    <w:rsid w:val="005C0B55"/>
    <w:rsid w:val="005C0CFE"/>
    <w:rsid w:val="005C14A2"/>
    <w:rsid w:val="005C1D6A"/>
    <w:rsid w:val="005C2094"/>
    <w:rsid w:val="005C23AE"/>
    <w:rsid w:val="005C289A"/>
    <w:rsid w:val="005C3C14"/>
    <w:rsid w:val="005C53C5"/>
    <w:rsid w:val="005C5442"/>
    <w:rsid w:val="005C64F9"/>
    <w:rsid w:val="005C7614"/>
    <w:rsid w:val="005D0121"/>
    <w:rsid w:val="005D0ED9"/>
    <w:rsid w:val="005D1A43"/>
    <w:rsid w:val="005D28B3"/>
    <w:rsid w:val="005D442F"/>
    <w:rsid w:val="005D5D2D"/>
    <w:rsid w:val="005D620C"/>
    <w:rsid w:val="005D7061"/>
    <w:rsid w:val="005D7C5F"/>
    <w:rsid w:val="005E0CF6"/>
    <w:rsid w:val="005E1CA1"/>
    <w:rsid w:val="005E221D"/>
    <w:rsid w:val="005E29C2"/>
    <w:rsid w:val="005E2AA5"/>
    <w:rsid w:val="005E554D"/>
    <w:rsid w:val="005E5D67"/>
    <w:rsid w:val="005E690E"/>
    <w:rsid w:val="005E6934"/>
    <w:rsid w:val="005E6B38"/>
    <w:rsid w:val="005E7B6D"/>
    <w:rsid w:val="005F11CA"/>
    <w:rsid w:val="005F21B0"/>
    <w:rsid w:val="005F2A2C"/>
    <w:rsid w:val="005F4712"/>
    <w:rsid w:val="005F53A4"/>
    <w:rsid w:val="005F6BEB"/>
    <w:rsid w:val="005F6F65"/>
    <w:rsid w:val="005F7705"/>
    <w:rsid w:val="006003F2"/>
    <w:rsid w:val="00600806"/>
    <w:rsid w:val="00600B61"/>
    <w:rsid w:val="006023E7"/>
    <w:rsid w:val="006028EE"/>
    <w:rsid w:val="00603D09"/>
    <w:rsid w:val="00603EC9"/>
    <w:rsid w:val="00604495"/>
    <w:rsid w:val="0060477A"/>
    <w:rsid w:val="006056A6"/>
    <w:rsid w:val="0060646F"/>
    <w:rsid w:val="00606945"/>
    <w:rsid w:val="006069B8"/>
    <w:rsid w:val="006076B3"/>
    <w:rsid w:val="00607796"/>
    <w:rsid w:val="006077F3"/>
    <w:rsid w:val="00610AB7"/>
    <w:rsid w:val="006113B6"/>
    <w:rsid w:val="00611882"/>
    <w:rsid w:val="0061195C"/>
    <w:rsid w:val="00611B4E"/>
    <w:rsid w:val="00612F30"/>
    <w:rsid w:val="0061335E"/>
    <w:rsid w:val="00614A04"/>
    <w:rsid w:val="00614BD9"/>
    <w:rsid w:val="0061521A"/>
    <w:rsid w:val="0061620A"/>
    <w:rsid w:val="00616890"/>
    <w:rsid w:val="00616FDA"/>
    <w:rsid w:val="006178F7"/>
    <w:rsid w:val="0061791E"/>
    <w:rsid w:val="00617C31"/>
    <w:rsid w:val="00621D40"/>
    <w:rsid w:val="00621DEC"/>
    <w:rsid w:val="00621EB5"/>
    <w:rsid w:val="006228D7"/>
    <w:rsid w:val="00623625"/>
    <w:rsid w:val="006245CA"/>
    <w:rsid w:val="006255D2"/>
    <w:rsid w:val="00625CCD"/>
    <w:rsid w:val="006269FC"/>
    <w:rsid w:val="006273F0"/>
    <w:rsid w:val="006279A9"/>
    <w:rsid w:val="00627D3A"/>
    <w:rsid w:val="00627FCA"/>
    <w:rsid w:val="00631464"/>
    <w:rsid w:val="006315F2"/>
    <w:rsid w:val="00631CA8"/>
    <w:rsid w:val="00631F50"/>
    <w:rsid w:val="00633879"/>
    <w:rsid w:val="006341C4"/>
    <w:rsid w:val="00635123"/>
    <w:rsid w:val="00636152"/>
    <w:rsid w:val="006365DF"/>
    <w:rsid w:val="00636652"/>
    <w:rsid w:val="006369C0"/>
    <w:rsid w:val="006369CA"/>
    <w:rsid w:val="00637D79"/>
    <w:rsid w:val="00637DDC"/>
    <w:rsid w:val="00640286"/>
    <w:rsid w:val="00640F38"/>
    <w:rsid w:val="00640F91"/>
    <w:rsid w:val="00641B92"/>
    <w:rsid w:val="00642407"/>
    <w:rsid w:val="0064244E"/>
    <w:rsid w:val="006430D0"/>
    <w:rsid w:val="0064374E"/>
    <w:rsid w:val="00643FF8"/>
    <w:rsid w:val="00645307"/>
    <w:rsid w:val="00645544"/>
    <w:rsid w:val="006456FF"/>
    <w:rsid w:val="006466CF"/>
    <w:rsid w:val="0064690D"/>
    <w:rsid w:val="00646FE0"/>
    <w:rsid w:val="00647316"/>
    <w:rsid w:val="006477DC"/>
    <w:rsid w:val="0065034D"/>
    <w:rsid w:val="00650B11"/>
    <w:rsid w:val="00651A39"/>
    <w:rsid w:val="00656774"/>
    <w:rsid w:val="00656811"/>
    <w:rsid w:val="00656BB2"/>
    <w:rsid w:val="00656C69"/>
    <w:rsid w:val="00660D5D"/>
    <w:rsid w:val="0066156E"/>
    <w:rsid w:val="006628D5"/>
    <w:rsid w:val="00662AC3"/>
    <w:rsid w:val="00662F8B"/>
    <w:rsid w:val="00663224"/>
    <w:rsid w:val="00663494"/>
    <w:rsid w:val="00664840"/>
    <w:rsid w:val="0066485E"/>
    <w:rsid w:val="00664F11"/>
    <w:rsid w:val="00665066"/>
    <w:rsid w:val="00665365"/>
    <w:rsid w:val="0066574D"/>
    <w:rsid w:val="0066621A"/>
    <w:rsid w:val="00667A7F"/>
    <w:rsid w:val="00670B22"/>
    <w:rsid w:val="00670F47"/>
    <w:rsid w:val="0067239D"/>
    <w:rsid w:val="00672620"/>
    <w:rsid w:val="006736CA"/>
    <w:rsid w:val="006738AA"/>
    <w:rsid w:val="00675261"/>
    <w:rsid w:val="00676367"/>
    <w:rsid w:val="006774A4"/>
    <w:rsid w:val="00680EA8"/>
    <w:rsid w:val="00683CD4"/>
    <w:rsid w:val="00686C3F"/>
    <w:rsid w:val="006872FD"/>
    <w:rsid w:val="006874E9"/>
    <w:rsid w:val="006904DB"/>
    <w:rsid w:val="006919FA"/>
    <w:rsid w:val="00692067"/>
    <w:rsid w:val="006929CF"/>
    <w:rsid w:val="006933C0"/>
    <w:rsid w:val="00694C81"/>
    <w:rsid w:val="00695727"/>
    <w:rsid w:val="00695B71"/>
    <w:rsid w:val="00695FF4"/>
    <w:rsid w:val="0069707B"/>
    <w:rsid w:val="006977ED"/>
    <w:rsid w:val="006A0020"/>
    <w:rsid w:val="006A08AC"/>
    <w:rsid w:val="006A1D01"/>
    <w:rsid w:val="006A2A61"/>
    <w:rsid w:val="006A48BE"/>
    <w:rsid w:val="006A4B6B"/>
    <w:rsid w:val="006A4CF4"/>
    <w:rsid w:val="006A4D1A"/>
    <w:rsid w:val="006A5506"/>
    <w:rsid w:val="006A5BD2"/>
    <w:rsid w:val="006A6772"/>
    <w:rsid w:val="006A7924"/>
    <w:rsid w:val="006A7EB2"/>
    <w:rsid w:val="006B00DD"/>
    <w:rsid w:val="006B0EA0"/>
    <w:rsid w:val="006B16AD"/>
    <w:rsid w:val="006B1C4F"/>
    <w:rsid w:val="006B2A5F"/>
    <w:rsid w:val="006B31A4"/>
    <w:rsid w:val="006B3A91"/>
    <w:rsid w:val="006B3DC3"/>
    <w:rsid w:val="006B4865"/>
    <w:rsid w:val="006B5408"/>
    <w:rsid w:val="006B5E83"/>
    <w:rsid w:val="006C0D37"/>
    <w:rsid w:val="006C0E20"/>
    <w:rsid w:val="006C18E0"/>
    <w:rsid w:val="006C1ED2"/>
    <w:rsid w:val="006C258A"/>
    <w:rsid w:val="006C455F"/>
    <w:rsid w:val="006C458B"/>
    <w:rsid w:val="006C484E"/>
    <w:rsid w:val="006C59F8"/>
    <w:rsid w:val="006C60DC"/>
    <w:rsid w:val="006C62D8"/>
    <w:rsid w:val="006C66F5"/>
    <w:rsid w:val="006C6D7A"/>
    <w:rsid w:val="006C73F4"/>
    <w:rsid w:val="006C76A8"/>
    <w:rsid w:val="006D0117"/>
    <w:rsid w:val="006D0562"/>
    <w:rsid w:val="006D07A9"/>
    <w:rsid w:val="006D1E0B"/>
    <w:rsid w:val="006D2618"/>
    <w:rsid w:val="006D2794"/>
    <w:rsid w:val="006D2926"/>
    <w:rsid w:val="006D34E8"/>
    <w:rsid w:val="006D3A3D"/>
    <w:rsid w:val="006D3BE2"/>
    <w:rsid w:val="006D502D"/>
    <w:rsid w:val="006D5345"/>
    <w:rsid w:val="006D6351"/>
    <w:rsid w:val="006D7983"/>
    <w:rsid w:val="006D7A31"/>
    <w:rsid w:val="006E131C"/>
    <w:rsid w:val="006E1725"/>
    <w:rsid w:val="006E26AD"/>
    <w:rsid w:val="006E27D5"/>
    <w:rsid w:val="006E3483"/>
    <w:rsid w:val="006E3C1C"/>
    <w:rsid w:val="006E461C"/>
    <w:rsid w:val="006E613C"/>
    <w:rsid w:val="006E74CB"/>
    <w:rsid w:val="006F20D1"/>
    <w:rsid w:val="006F3EAA"/>
    <w:rsid w:val="006F4593"/>
    <w:rsid w:val="006F466E"/>
    <w:rsid w:val="006F598C"/>
    <w:rsid w:val="006F6CAA"/>
    <w:rsid w:val="006F7EBE"/>
    <w:rsid w:val="00700128"/>
    <w:rsid w:val="00700FB6"/>
    <w:rsid w:val="0070103B"/>
    <w:rsid w:val="007010E4"/>
    <w:rsid w:val="00701C64"/>
    <w:rsid w:val="007021C9"/>
    <w:rsid w:val="007023DD"/>
    <w:rsid w:val="00703038"/>
    <w:rsid w:val="007035D5"/>
    <w:rsid w:val="007048CA"/>
    <w:rsid w:val="007048DA"/>
    <w:rsid w:val="00705342"/>
    <w:rsid w:val="0070574B"/>
    <w:rsid w:val="00706481"/>
    <w:rsid w:val="00706B65"/>
    <w:rsid w:val="007104B0"/>
    <w:rsid w:val="007118B0"/>
    <w:rsid w:val="00713952"/>
    <w:rsid w:val="00713BCA"/>
    <w:rsid w:val="00716798"/>
    <w:rsid w:val="00717616"/>
    <w:rsid w:val="007176F5"/>
    <w:rsid w:val="00717714"/>
    <w:rsid w:val="00720364"/>
    <w:rsid w:val="00721590"/>
    <w:rsid w:val="00722B58"/>
    <w:rsid w:val="00722C1F"/>
    <w:rsid w:val="00723AF1"/>
    <w:rsid w:val="00724858"/>
    <w:rsid w:val="007253FF"/>
    <w:rsid w:val="00727A2E"/>
    <w:rsid w:val="007307B7"/>
    <w:rsid w:val="00730E51"/>
    <w:rsid w:val="0073211C"/>
    <w:rsid w:val="00732DEA"/>
    <w:rsid w:val="00733333"/>
    <w:rsid w:val="00734BF8"/>
    <w:rsid w:val="00735149"/>
    <w:rsid w:val="00736039"/>
    <w:rsid w:val="00736118"/>
    <w:rsid w:val="007370BB"/>
    <w:rsid w:val="0073748E"/>
    <w:rsid w:val="0074030D"/>
    <w:rsid w:val="00741472"/>
    <w:rsid w:val="007415F9"/>
    <w:rsid w:val="00742CE2"/>
    <w:rsid w:val="00744AF7"/>
    <w:rsid w:val="00744F1B"/>
    <w:rsid w:val="00745370"/>
    <w:rsid w:val="007475C6"/>
    <w:rsid w:val="007504AA"/>
    <w:rsid w:val="00751932"/>
    <w:rsid w:val="00751CB6"/>
    <w:rsid w:val="00752425"/>
    <w:rsid w:val="00753EC8"/>
    <w:rsid w:val="00757247"/>
    <w:rsid w:val="007606CB"/>
    <w:rsid w:val="007607B3"/>
    <w:rsid w:val="00760896"/>
    <w:rsid w:val="00760D03"/>
    <w:rsid w:val="00760EB1"/>
    <w:rsid w:val="0076331F"/>
    <w:rsid w:val="00764003"/>
    <w:rsid w:val="0076512B"/>
    <w:rsid w:val="00765877"/>
    <w:rsid w:val="00767D88"/>
    <w:rsid w:val="00770785"/>
    <w:rsid w:val="00770A58"/>
    <w:rsid w:val="00771BE2"/>
    <w:rsid w:val="00771F70"/>
    <w:rsid w:val="00773BBB"/>
    <w:rsid w:val="00774D5F"/>
    <w:rsid w:val="007756C0"/>
    <w:rsid w:val="007758F9"/>
    <w:rsid w:val="007767B4"/>
    <w:rsid w:val="00777BAB"/>
    <w:rsid w:val="00777D7D"/>
    <w:rsid w:val="00780287"/>
    <w:rsid w:val="007804D2"/>
    <w:rsid w:val="00780DBD"/>
    <w:rsid w:val="00782458"/>
    <w:rsid w:val="0078285B"/>
    <w:rsid w:val="007829B2"/>
    <w:rsid w:val="007843D5"/>
    <w:rsid w:val="00784E4D"/>
    <w:rsid w:val="00785936"/>
    <w:rsid w:val="00785B01"/>
    <w:rsid w:val="00785CA1"/>
    <w:rsid w:val="00786C02"/>
    <w:rsid w:val="007900E8"/>
    <w:rsid w:val="00792B1F"/>
    <w:rsid w:val="007931AF"/>
    <w:rsid w:val="0079437B"/>
    <w:rsid w:val="007957C8"/>
    <w:rsid w:val="007959EF"/>
    <w:rsid w:val="0079628B"/>
    <w:rsid w:val="00797A33"/>
    <w:rsid w:val="00797BA6"/>
    <w:rsid w:val="007A085E"/>
    <w:rsid w:val="007A10DD"/>
    <w:rsid w:val="007A1551"/>
    <w:rsid w:val="007A17D1"/>
    <w:rsid w:val="007A23B8"/>
    <w:rsid w:val="007A26D7"/>
    <w:rsid w:val="007A28F7"/>
    <w:rsid w:val="007A437A"/>
    <w:rsid w:val="007A50A3"/>
    <w:rsid w:val="007A5397"/>
    <w:rsid w:val="007A6635"/>
    <w:rsid w:val="007A682D"/>
    <w:rsid w:val="007A6EE7"/>
    <w:rsid w:val="007A7097"/>
    <w:rsid w:val="007B00CA"/>
    <w:rsid w:val="007B19CB"/>
    <w:rsid w:val="007B1A9A"/>
    <w:rsid w:val="007B1C7E"/>
    <w:rsid w:val="007B1E04"/>
    <w:rsid w:val="007B2A47"/>
    <w:rsid w:val="007B2BD1"/>
    <w:rsid w:val="007B2FAE"/>
    <w:rsid w:val="007B3A10"/>
    <w:rsid w:val="007B4BC4"/>
    <w:rsid w:val="007B5907"/>
    <w:rsid w:val="007B5FBD"/>
    <w:rsid w:val="007B699E"/>
    <w:rsid w:val="007B6C71"/>
    <w:rsid w:val="007B6D2B"/>
    <w:rsid w:val="007C0CDF"/>
    <w:rsid w:val="007C0DA0"/>
    <w:rsid w:val="007C23CB"/>
    <w:rsid w:val="007C258A"/>
    <w:rsid w:val="007C3561"/>
    <w:rsid w:val="007C56DD"/>
    <w:rsid w:val="007C5DC5"/>
    <w:rsid w:val="007C7C5A"/>
    <w:rsid w:val="007C7D7B"/>
    <w:rsid w:val="007D03E2"/>
    <w:rsid w:val="007D1585"/>
    <w:rsid w:val="007D1CD6"/>
    <w:rsid w:val="007D1DC5"/>
    <w:rsid w:val="007D4E61"/>
    <w:rsid w:val="007D508F"/>
    <w:rsid w:val="007D59E6"/>
    <w:rsid w:val="007D6230"/>
    <w:rsid w:val="007D7D3B"/>
    <w:rsid w:val="007E0BFA"/>
    <w:rsid w:val="007E27CB"/>
    <w:rsid w:val="007E2F90"/>
    <w:rsid w:val="007E3877"/>
    <w:rsid w:val="007E4FD7"/>
    <w:rsid w:val="007E5ECA"/>
    <w:rsid w:val="007E7048"/>
    <w:rsid w:val="007E754C"/>
    <w:rsid w:val="007E7615"/>
    <w:rsid w:val="007F054F"/>
    <w:rsid w:val="007F192B"/>
    <w:rsid w:val="007F2030"/>
    <w:rsid w:val="007F2718"/>
    <w:rsid w:val="007F2A41"/>
    <w:rsid w:val="007F2AC7"/>
    <w:rsid w:val="007F2C0A"/>
    <w:rsid w:val="007F3334"/>
    <w:rsid w:val="007F3362"/>
    <w:rsid w:val="007F4310"/>
    <w:rsid w:val="007F6176"/>
    <w:rsid w:val="007F627C"/>
    <w:rsid w:val="007F6C9A"/>
    <w:rsid w:val="007F7281"/>
    <w:rsid w:val="007F74F4"/>
    <w:rsid w:val="008005A9"/>
    <w:rsid w:val="00800EFC"/>
    <w:rsid w:val="008011B5"/>
    <w:rsid w:val="00801AC7"/>
    <w:rsid w:val="00803244"/>
    <w:rsid w:val="00803570"/>
    <w:rsid w:val="00804D67"/>
    <w:rsid w:val="008060B2"/>
    <w:rsid w:val="00806FA5"/>
    <w:rsid w:val="00810DEA"/>
    <w:rsid w:val="00812880"/>
    <w:rsid w:val="00813A6B"/>
    <w:rsid w:val="00815968"/>
    <w:rsid w:val="00815E02"/>
    <w:rsid w:val="00816351"/>
    <w:rsid w:val="00816883"/>
    <w:rsid w:val="00817A7E"/>
    <w:rsid w:val="008205DC"/>
    <w:rsid w:val="0082242E"/>
    <w:rsid w:val="0082555D"/>
    <w:rsid w:val="00826E61"/>
    <w:rsid w:val="00826FD2"/>
    <w:rsid w:val="00827D65"/>
    <w:rsid w:val="00827F21"/>
    <w:rsid w:val="00830060"/>
    <w:rsid w:val="008331A0"/>
    <w:rsid w:val="0083385D"/>
    <w:rsid w:val="00833E59"/>
    <w:rsid w:val="008346EA"/>
    <w:rsid w:val="00835244"/>
    <w:rsid w:val="00836054"/>
    <w:rsid w:val="0083647C"/>
    <w:rsid w:val="00836D9A"/>
    <w:rsid w:val="008403F9"/>
    <w:rsid w:val="0084040B"/>
    <w:rsid w:val="00840BCE"/>
    <w:rsid w:val="0084178B"/>
    <w:rsid w:val="00841EB7"/>
    <w:rsid w:val="008433AF"/>
    <w:rsid w:val="008448A0"/>
    <w:rsid w:val="00844BA7"/>
    <w:rsid w:val="00844E92"/>
    <w:rsid w:val="008459E3"/>
    <w:rsid w:val="00846016"/>
    <w:rsid w:val="008461D1"/>
    <w:rsid w:val="0084631F"/>
    <w:rsid w:val="008476CE"/>
    <w:rsid w:val="008506F5"/>
    <w:rsid w:val="00852491"/>
    <w:rsid w:val="0085289C"/>
    <w:rsid w:val="00852F88"/>
    <w:rsid w:val="00853885"/>
    <w:rsid w:val="00853B66"/>
    <w:rsid w:val="008541F6"/>
    <w:rsid w:val="008544C2"/>
    <w:rsid w:val="00854E07"/>
    <w:rsid w:val="00854FE1"/>
    <w:rsid w:val="00857D45"/>
    <w:rsid w:val="008609E1"/>
    <w:rsid w:val="00860A66"/>
    <w:rsid w:val="008619E8"/>
    <w:rsid w:val="0086339A"/>
    <w:rsid w:val="008650A1"/>
    <w:rsid w:val="0086549F"/>
    <w:rsid w:val="008654C1"/>
    <w:rsid w:val="00865C6E"/>
    <w:rsid w:val="0086638B"/>
    <w:rsid w:val="00867A5D"/>
    <w:rsid w:val="00870924"/>
    <w:rsid w:val="00871258"/>
    <w:rsid w:val="008718E6"/>
    <w:rsid w:val="008728E5"/>
    <w:rsid w:val="008738EA"/>
    <w:rsid w:val="0087457D"/>
    <w:rsid w:val="00874B23"/>
    <w:rsid w:val="00875605"/>
    <w:rsid w:val="00877BDC"/>
    <w:rsid w:val="00880C5E"/>
    <w:rsid w:val="008826F8"/>
    <w:rsid w:val="00883E80"/>
    <w:rsid w:val="00884499"/>
    <w:rsid w:val="00884950"/>
    <w:rsid w:val="00884AB3"/>
    <w:rsid w:val="00885C89"/>
    <w:rsid w:val="008864DB"/>
    <w:rsid w:val="0089014A"/>
    <w:rsid w:val="00890D75"/>
    <w:rsid w:val="00891756"/>
    <w:rsid w:val="00891EB7"/>
    <w:rsid w:val="00892533"/>
    <w:rsid w:val="008927CB"/>
    <w:rsid w:val="00893228"/>
    <w:rsid w:val="00895384"/>
    <w:rsid w:val="0089733F"/>
    <w:rsid w:val="0089739D"/>
    <w:rsid w:val="0089769C"/>
    <w:rsid w:val="00897ECB"/>
    <w:rsid w:val="008A0040"/>
    <w:rsid w:val="008A03DB"/>
    <w:rsid w:val="008A100A"/>
    <w:rsid w:val="008A2BD0"/>
    <w:rsid w:val="008A306A"/>
    <w:rsid w:val="008A39E9"/>
    <w:rsid w:val="008A48B0"/>
    <w:rsid w:val="008A4B41"/>
    <w:rsid w:val="008A4F32"/>
    <w:rsid w:val="008A62ED"/>
    <w:rsid w:val="008A637D"/>
    <w:rsid w:val="008A6C20"/>
    <w:rsid w:val="008A7352"/>
    <w:rsid w:val="008B1469"/>
    <w:rsid w:val="008B1B28"/>
    <w:rsid w:val="008B4A16"/>
    <w:rsid w:val="008B4D75"/>
    <w:rsid w:val="008B4F8F"/>
    <w:rsid w:val="008B57DD"/>
    <w:rsid w:val="008B5A64"/>
    <w:rsid w:val="008B5B89"/>
    <w:rsid w:val="008B5D10"/>
    <w:rsid w:val="008B690B"/>
    <w:rsid w:val="008B77CA"/>
    <w:rsid w:val="008C0067"/>
    <w:rsid w:val="008C0A74"/>
    <w:rsid w:val="008C11A3"/>
    <w:rsid w:val="008C139C"/>
    <w:rsid w:val="008C1E59"/>
    <w:rsid w:val="008C2A26"/>
    <w:rsid w:val="008C35B6"/>
    <w:rsid w:val="008C38C2"/>
    <w:rsid w:val="008C3CC1"/>
    <w:rsid w:val="008C4B46"/>
    <w:rsid w:val="008C5776"/>
    <w:rsid w:val="008C5C4C"/>
    <w:rsid w:val="008C69D3"/>
    <w:rsid w:val="008C70B5"/>
    <w:rsid w:val="008C7263"/>
    <w:rsid w:val="008C730F"/>
    <w:rsid w:val="008C7317"/>
    <w:rsid w:val="008C79EF"/>
    <w:rsid w:val="008C7B3C"/>
    <w:rsid w:val="008D0A5F"/>
    <w:rsid w:val="008D0C29"/>
    <w:rsid w:val="008D0E02"/>
    <w:rsid w:val="008D1354"/>
    <w:rsid w:val="008D1CDB"/>
    <w:rsid w:val="008D1FB5"/>
    <w:rsid w:val="008D2707"/>
    <w:rsid w:val="008D28EF"/>
    <w:rsid w:val="008D2E4E"/>
    <w:rsid w:val="008D3876"/>
    <w:rsid w:val="008D3927"/>
    <w:rsid w:val="008D3F39"/>
    <w:rsid w:val="008D47D5"/>
    <w:rsid w:val="008D53C5"/>
    <w:rsid w:val="008D6665"/>
    <w:rsid w:val="008D74AD"/>
    <w:rsid w:val="008E040D"/>
    <w:rsid w:val="008E0F22"/>
    <w:rsid w:val="008E219A"/>
    <w:rsid w:val="008E21FF"/>
    <w:rsid w:val="008E3B3F"/>
    <w:rsid w:val="008E3CB4"/>
    <w:rsid w:val="008E4E4F"/>
    <w:rsid w:val="008E529C"/>
    <w:rsid w:val="008E53DA"/>
    <w:rsid w:val="008E7215"/>
    <w:rsid w:val="008E7893"/>
    <w:rsid w:val="008E790D"/>
    <w:rsid w:val="008F0767"/>
    <w:rsid w:val="008F168B"/>
    <w:rsid w:val="008F1BAA"/>
    <w:rsid w:val="008F2245"/>
    <w:rsid w:val="008F2471"/>
    <w:rsid w:val="008F3AEF"/>
    <w:rsid w:val="008F52C1"/>
    <w:rsid w:val="008F59A9"/>
    <w:rsid w:val="008F6552"/>
    <w:rsid w:val="009003F7"/>
    <w:rsid w:val="00900E02"/>
    <w:rsid w:val="009010AE"/>
    <w:rsid w:val="009013DF"/>
    <w:rsid w:val="009017B9"/>
    <w:rsid w:val="00902366"/>
    <w:rsid w:val="00903263"/>
    <w:rsid w:val="00903353"/>
    <w:rsid w:val="0090453F"/>
    <w:rsid w:val="009048AE"/>
    <w:rsid w:val="00904A17"/>
    <w:rsid w:val="009053FB"/>
    <w:rsid w:val="00905C38"/>
    <w:rsid w:val="009066A8"/>
    <w:rsid w:val="009066D4"/>
    <w:rsid w:val="009116C3"/>
    <w:rsid w:val="00912451"/>
    <w:rsid w:val="009124EE"/>
    <w:rsid w:val="00912C6B"/>
    <w:rsid w:val="00915171"/>
    <w:rsid w:val="0091628F"/>
    <w:rsid w:val="00916917"/>
    <w:rsid w:val="009169D7"/>
    <w:rsid w:val="0092134C"/>
    <w:rsid w:val="00922A00"/>
    <w:rsid w:val="0092314B"/>
    <w:rsid w:val="009243C1"/>
    <w:rsid w:val="00926BD3"/>
    <w:rsid w:val="00926F18"/>
    <w:rsid w:val="009270A1"/>
    <w:rsid w:val="00927755"/>
    <w:rsid w:val="009307EA"/>
    <w:rsid w:val="00932197"/>
    <w:rsid w:val="00932245"/>
    <w:rsid w:val="0093253E"/>
    <w:rsid w:val="00933513"/>
    <w:rsid w:val="00933A3F"/>
    <w:rsid w:val="00933E94"/>
    <w:rsid w:val="009345F8"/>
    <w:rsid w:val="00934FBB"/>
    <w:rsid w:val="00935424"/>
    <w:rsid w:val="0093601A"/>
    <w:rsid w:val="00936583"/>
    <w:rsid w:val="009409BE"/>
    <w:rsid w:val="0094101C"/>
    <w:rsid w:val="00943108"/>
    <w:rsid w:val="00943E95"/>
    <w:rsid w:val="00943F45"/>
    <w:rsid w:val="00944A4A"/>
    <w:rsid w:val="00945035"/>
    <w:rsid w:val="00945AA7"/>
    <w:rsid w:val="00945ACF"/>
    <w:rsid w:val="0094640C"/>
    <w:rsid w:val="0094726E"/>
    <w:rsid w:val="0094727D"/>
    <w:rsid w:val="00947BFA"/>
    <w:rsid w:val="009547E4"/>
    <w:rsid w:val="009566F4"/>
    <w:rsid w:val="00957CAE"/>
    <w:rsid w:val="00960103"/>
    <w:rsid w:val="00960BF1"/>
    <w:rsid w:val="00962501"/>
    <w:rsid w:val="00963004"/>
    <w:rsid w:val="00963FEF"/>
    <w:rsid w:val="0096488C"/>
    <w:rsid w:val="00964E74"/>
    <w:rsid w:val="00965239"/>
    <w:rsid w:val="009652A1"/>
    <w:rsid w:val="0096563C"/>
    <w:rsid w:val="00967BFB"/>
    <w:rsid w:val="0097017F"/>
    <w:rsid w:val="00970632"/>
    <w:rsid w:val="00970731"/>
    <w:rsid w:val="00970D5C"/>
    <w:rsid w:val="00971FA1"/>
    <w:rsid w:val="00972107"/>
    <w:rsid w:val="009726D9"/>
    <w:rsid w:val="00973047"/>
    <w:rsid w:val="009736C1"/>
    <w:rsid w:val="00975B50"/>
    <w:rsid w:val="00975BB4"/>
    <w:rsid w:val="00976E2B"/>
    <w:rsid w:val="00976EFC"/>
    <w:rsid w:val="00977855"/>
    <w:rsid w:val="00977B45"/>
    <w:rsid w:val="00977D58"/>
    <w:rsid w:val="00977E53"/>
    <w:rsid w:val="009806DF"/>
    <w:rsid w:val="00981061"/>
    <w:rsid w:val="009811FC"/>
    <w:rsid w:val="00981B5A"/>
    <w:rsid w:val="00982D04"/>
    <w:rsid w:val="00983E61"/>
    <w:rsid w:val="009841BF"/>
    <w:rsid w:val="00984375"/>
    <w:rsid w:val="0098440D"/>
    <w:rsid w:val="009850BE"/>
    <w:rsid w:val="009858F9"/>
    <w:rsid w:val="009864A7"/>
    <w:rsid w:val="00987653"/>
    <w:rsid w:val="009878D0"/>
    <w:rsid w:val="00987989"/>
    <w:rsid w:val="00990089"/>
    <w:rsid w:val="00990312"/>
    <w:rsid w:val="009908EE"/>
    <w:rsid w:val="00991841"/>
    <w:rsid w:val="009919FE"/>
    <w:rsid w:val="00991AA0"/>
    <w:rsid w:val="009926F9"/>
    <w:rsid w:val="00993EA0"/>
    <w:rsid w:val="00995E1C"/>
    <w:rsid w:val="009A06E2"/>
    <w:rsid w:val="009A11DE"/>
    <w:rsid w:val="009A1847"/>
    <w:rsid w:val="009A1DCA"/>
    <w:rsid w:val="009A2E72"/>
    <w:rsid w:val="009A3040"/>
    <w:rsid w:val="009A34D2"/>
    <w:rsid w:val="009A460C"/>
    <w:rsid w:val="009A47A4"/>
    <w:rsid w:val="009A542A"/>
    <w:rsid w:val="009A55E5"/>
    <w:rsid w:val="009A57BD"/>
    <w:rsid w:val="009A7CB8"/>
    <w:rsid w:val="009B04E1"/>
    <w:rsid w:val="009B118F"/>
    <w:rsid w:val="009B2D0A"/>
    <w:rsid w:val="009B2EB6"/>
    <w:rsid w:val="009B2F80"/>
    <w:rsid w:val="009B34A8"/>
    <w:rsid w:val="009B3EBD"/>
    <w:rsid w:val="009B4619"/>
    <w:rsid w:val="009B4E3D"/>
    <w:rsid w:val="009B5395"/>
    <w:rsid w:val="009B5AAB"/>
    <w:rsid w:val="009B6643"/>
    <w:rsid w:val="009B6DD0"/>
    <w:rsid w:val="009B715F"/>
    <w:rsid w:val="009B75BB"/>
    <w:rsid w:val="009C195D"/>
    <w:rsid w:val="009C37B3"/>
    <w:rsid w:val="009C3F9A"/>
    <w:rsid w:val="009C484B"/>
    <w:rsid w:val="009C4CCB"/>
    <w:rsid w:val="009C57AA"/>
    <w:rsid w:val="009C5D00"/>
    <w:rsid w:val="009C7032"/>
    <w:rsid w:val="009D1C6F"/>
    <w:rsid w:val="009D3CE6"/>
    <w:rsid w:val="009D5C1D"/>
    <w:rsid w:val="009E0D4C"/>
    <w:rsid w:val="009E13AE"/>
    <w:rsid w:val="009E13E0"/>
    <w:rsid w:val="009E1A2C"/>
    <w:rsid w:val="009E1BE7"/>
    <w:rsid w:val="009E225C"/>
    <w:rsid w:val="009E3CF9"/>
    <w:rsid w:val="009E520F"/>
    <w:rsid w:val="009E6B2A"/>
    <w:rsid w:val="009F010A"/>
    <w:rsid w:val="009F0D29"/>
    <w:rsid w:val="009F15B4"/>
    <w:rsid w:val="009F3559"/>
    <w:rsid w:val="009F38D1"/>
    <w:rsid w:val="009F4085"/>
    <w:rsid w:val="009F466C"/>
    <w:rsid w:val="009F6559"/>
    <w:rsid w:val="009F690C"/>
    <w:rsid w:val="009F6C70"/>
    <w:rsid w:val="009F7E2B"/>
    <w:rsid w:val="00A00065"/>
    <w:rsid w:val="00A005AA"/>
    <w:rsid w:val="00A005D5"/>
    <w:rsid w:val="00A00D68"/>
    <w:rsid w:val="00A00E03"/>
    <w:rsid w:val="00A01738"/>
    <w:rsid w:val="00A01F2F"/>
    <w:rsid w:val="00A030C4"/>
    <w:rsid w:val="00A04299"/>
    <w:rsid w:val="00A05C8A"/>
    <w:rsid w:val="00A05F3A"/>
    <w:rsid w:val="00A06618"/>
    <w:rsid w:val="00A06929"/>
    <w:rsid w:val="00A07516"/>
    <w:rsid w:val="00A07A66"/>
    <w:rsid w:val="00A1020A"/>
    <w:rsid w:val="00A104AB"/>
    <w:rsid w:val="00A104FB"/>
    <w:rsid w:val="00A11752"/>
    <w:rsid w:val="00A11D2E"/>
    <w:rsid w:val="00A126B9"/>
    <w:rsid w:val="00A12D04"/>
    <w:rsid w:val="00A12D62"/>
    <w:rsid w:val="00A13022"/>
    <w:rsid w:val="00A1310F"/>
    <w:rsid w:val="00A13476"/>
    <w:rsid w:val="00A13743"/>
    <w:rsid w:val="00A13F39"/>
    <w:rsid w:val="00A1506A"/>
    <w:rsid w:val="00A163A9"/>
    <w:rsid w:val="00A166B5"/>
    <w:rsid w:val="00A17007"/>
    <w:rsid w:val="00A20026"/>
    <w:rsid w:val="00A20A20"/>
    <w:rsid w:val="00A20AA0"/>
    <w:rsid w:val="00A20DFD"/>
    <w:rsid w:val="00A20EC2"/>
    <w:rsid w:val="00A20FA1"/>
    <w:rsid w:val="00A22747"/>
    <w:rsid w:val="00A2374B"/>
    <w:rsid w:val="00A24435"/>
    <w:rsid w:val="00A2543E"/>
    <w:rsid w:val="00A25931"/>
    <w:rsid w:val="00A26534"/>
    <w:rsid w:val="00A26E9E"/>
    <w:rsid w:val="00A26EA6"/>
    <w:rsid w:val="00A271F9"/>
    <w:rsid w:val="00A3007A"/>
    <w:rsid w:val="00A3033F"/>
    <w:rsid w:val="00A32284"/>
    <w:rsid w:val="00A32727"/>
    <w:rsid w:val="00A334D5"/>
    <w:rsid w:val="00A33B81"/>
    <w:rsid w:val="00A33E93"/>
    <w:rsid w:val="00A3538D"/>
    <w:rsid w:val="00A35432"/>
    <w:rsid w:val="00A35CB2"/>
    <w:rsid w:val="00A35D2E"/>
    <w:rsid w:val="00A362E0"/>
    <w:rsid w:val="00A36B01"/>
    <w:rsid w:val="00A36B45"/>
    <w:rsid w:val="00A37CFA"/>
    <w:rsid w:val="00A402FD"/>
    <w:rsid w:val="00A40653"/>
    <w:rsid w:val="00A40A06"/>
    <w:rsid w:val="00A40A36"/>
    <w:rsid w:val="00A42BE1"/>
    <w:rsid w:val="00A431A5"/>
    <w:rsid w:val="00A43967"/>
    <w:rsid w:val="00A45F40"/>
    <w:rsid w:val="00A50048"/>
    <w:rsid w:val="00A500E2"/>
    <w:rsid w:val="00A5016D"/>
    <w:rsid w:val="00A53021"/>
    <w:rsid w:val="00A540E8"/>
    <w:rsid w:val="00A54426"/>
    <w:rsid w:val="00A54487"/>
    <w:rsid w:val="00A54EF6"/>
    <w:rsid w:val="00A556BE"/>
    <w:rsid w:val="00A57569"/>
    <w:rsid w:val="00A60F7E"/>
    <w:rsid w:val="00A6147C"/>
    <w:rsid w:val="00A628BD"/>
    <w:rsid w:val="00A64259"/>
    <w:rsid w:val="00A644FA"/>
    <w:rsid w:val="00A64AA0"/>
    <w:rsid w:val="00A64EE0"/>
    <w:rsid w:val="00A6587D"/>
    <w:rsid w:val="00A658C8"/>
    <w:rsid w:val="00A67D1E"/>
    <w:rsid w:val="00A70051"/>
    <w:rsid w:val="00A7193F"/>
    <w:rsid w:val="00A71A5D"/>
    <w:rsid w:val="00A71B23"/>
    <w:rsid w:val="00A71C36"/>
    <w:rsid w:val="00A727BE"/>
    <w:rsid w:val="00A72D56"/>
    <w:rsid w:val="00A73287"/>
    <w:rsid w:val="00A73367"/>
    <w:rsid w:val="00A73684"/>
    <w:rsid w:val="00A74452"/>
    <w:rsid w:val="00A75424"/>
    <w:rsid w:val="00A76173"/>
    <w:rsid w:val="00A779BF"/>
    <w:rsid w:val="00A77FD5"/>
    <w:rsid w:val="00A805F1"/>
    <w:rsid w:val="00A8081D"/>
    <w:rsid w:val="00A818BC"/>
    <w:rsid w:val="00A82415"/>
    <w:rsid w:val="00A825A3"/>
    <w:rsid w:val="00A828DE"/>
    <w:rsid w:val="00A83A03"/>
    <w:rsid w:val="00A84021"/>
    <w:rsid w:val="00A84216"/>
    <w:rsid w:val="00A85949"/>
    <w:rsid w:val="00A86045"/>
    <w:rsid w:val="00A8614F"/>
    <w:rsid w:val="00A86FC3"/>
    <w:rsid w:val="00A8797F"/>
    <w:rsid w:val="00A9093E"/>
    <w:rsid w:val="00A90A87"/>
    <w:rsid w:val="00A90FF3"/>
    <w:rsid w:val="00A919AB"/>
    <w:rsid w:val="00A91B16"/>
    <w:rsid w:val="00A92C1E"/>
    <w:rsid w:val="00A92E0A"/>
    <w:rsid w:val="00A93A6F"/>
    <w:rsid w:val="00A96822"/>
    <w:rsid w:val="00A968F0"/>
    <w:rsid w:val="00A96AFF"/>
    <w:rsid w:val="00A97ED0"/>
    <w:rsid w:val="00AA10F1"/>
    <w:rsid w:val="00AA4148"/>
    <w:rsid w:val="00AA418B"/>
    <w:rsid w:val="00AA494C"/>
    <w:rsid w:val="00AA4FC1"/>
    <w:rsid w:val="00AA71BE"/>
    <w:rsid w:val="00AA7D4B"/>
    <w:rsid w:val="00AB14AD"/>
    <w:rsid w:val="00AB1837"/>
    <w:rsid w:val="00AB2A19"/>
    <w:rsid w:val="00AB2B55"/>
    <w:rsid w:val="00AB2C41"/>
    <w:rsid w:val="00AB2D5E"/>
    <w:rsid w:val="00AB34CE"/>
    <w:rsid w:val="00AB3B1F"/>
    <w:rsid w:val="00AB4A73"/>
    <w:rsid w:val="00AB5D97"/>
    <w:rsid w:val="00AC04E7"/>
    <w:rsid w:val="00AC116B"/>
    <w:rsid w:val="00AC1374"/>
    <w:rsid w:val="00AC1EC5"/>
    <w:rsid w:val="00AC268B"/>
    <w:rsid w:val="00AC292F"/>
    <w:rsid w:val="00AC2D58"/>
    <w:rsid w:val="00AC4EBF"/>
    <w:rsid w:val="00AC56A7"/>
    <w:rsid w:val="00AC5BC8"/>
    <w:rsid w:val="00AC6202"/>
    <w:rsid w:val="00AC6B45"/>
    <w:rsid w:val="00AD0FCE"/>
    <w:rsid w:val="00AD153D"/>
    <w:rsid w:val="00AD1C38"/>
    <w:rsid w:val="00AD1E26"/>
    <w:rsid w:val="00AD25A9"/>
    <w:rsid w:val="00AD37E7"/>
    <w:rsid w:val="00AD4D29"/>
    <w:rsid w:val="00AD50EA"/>
    <w:rsid w:val="00AD52F9"/>
    <w:rsid w:val="00AD5FCE"/>
    <w:rsid w:val="00AD7796"/>
    <w:rsid w:val="00AE01DD"/>
    <w:rsid w:val="00AE0921"/>
    <w:rsid w:val="00AE0D2D"/>
    <w:rsid w:val="00AE166A"/>
    <w:rsid w:val="00AE16FE"/>
    <w:rsid w:val="00AE1EC0"/>
    <w:rsid w:val="00AE2E5C"/>
    <w:rsid w:val="00AE2FB9"/>
    <w:rsid w:val="00AE3AD0"/>
    <w:rsid w:val="00AE4607"/>
    <w:rsid w:val="00AE46FD"/>
    <w:rsid w:val="00AE5D9A"/>
    <w:rsid w:val="00AE720C"/>
    <w:rsid w:val="00AF02AD"/>
    <w:rsid w:val="00AF0E73"/>
    <w:rsid w:val="00AF32CF"/>
    <w:rsid w:val="00AF7E9D"/>
    <w:rsid w:val="00B01249"/>
    <w:rsid w:val="00B01AC7"/>
    <w:rsid w:val="00B050BE"/>
    <w:rsid w:val="00B05111"/>
    <w:rsid w:val="00B05B15"/>
    <w:rsid w:val="00B05C0B"/>
    <w:rsid w:val="00B060E9"/>
    <w:rsid w:val="00B067CC"/>
    <w:rsid w:val="00B06FDF"/>
    <w:rsid w:val="00B100C2"/>
    <w:rsid w:val="00B10BA1"/>
    <w:rsid w:val="00B1105C"/>
    <w:rsid w:val="00B1151F"/>
    <w:rsid w:val="00B12188"/>
    <w:rsid w:val="00B12687"/>
    <w:rsid w:val="00B12AB9"/>
    <w:rsid w:val="00B13A4A"/>
    <w:rsid w:val="00B14080"/>
    <w:rsid w:val="00B141D9"/>
    <w:rsid w:val="00B14D28"/>
    <w:rsid w:val="00B175A5"/>
    <w:rsid w:val="00B17CAC"/>
    <w:rsid w:val="00B20212"/>
    <w:rsid w:val="00B208D0"/>
    <w:rsid w:val="00B216F4"/>
    <w:rsid w:val="00B22439"/>
    <w:rsid w:val="00B22DD4"/>
    <w:rsid w:val="00B25215"/>
    <w:rsid w:val="00B25F54"/>
    <w:rsid w:val="00B26B87"/>
    <w:rsid w:val="00B27687"/>
    <w:rsid w:val="00B30918"/>
    <w:rsid w:val="00B30A14"/>
    <w:rsid w:val="00B3124B"/>
    <w:rsid w:val="00B3180D"/>
    <w:rsid w:val="00B32351"/>
    <w:rsid w:val="00B33460"/>
    <w:rsid w:val="00B337C5"/>
    <w:rsid w:val="00B34AB2"/>
    <w:rsid w:val="00B35B97"/>
    <w:rsid w:val="00B36EBF"/>
    <w:rsid w:val="00B40CD4"/>
    <w:rsid w:val="00B416A9"/>
    <w:rsid w:val="00B41F27"/>
    <w:rsid w:val="00B42671"/>
    <w:rsid w:val="00B42674"/>
    <w:rsid w:val="00B42C44"/>
    <w:rsid w:val="00B4493E"/>
    <w:rsid w:val="00B45090"/>
    <w:rsid w:val="00B45C35"/>
    <w:rsid w:val="00B46238"/>
    <w:rsid w:val="00B471DC"/>
    <w:rsid w:val="00B4721C"/>
    <w:rsid w:val="00B5004B"/>
    <w:rsid w:val="00B50407"/>
    <w:rsid w:val="00B50680"/>
    <w:rsid w:val="00B50E42"/>
    <w:rsid w:val="00B50E7E"/>
    <w:rsid w:val="00B514CE"/>
    <w:rsid w:val="00B52494"/>
    <w:rsid w:val="00B53F15"/>
    <w:rsid w:val="00B53FED"/>
    <w:rsid w:val="00B54CE9"/>
    <w:rsid w:val="00B55268"/>
    <w:rsid w:val="00B55CA9"/>
    <w:rsid w:val="00B5604F"/>
    <w:rsid w:val="00B61BE7"/>
    <w:rsid w:val="00B61D90"/>
    <w:rsid w:val="00B62197"/>
    <w:rsid w:val="00B62C01"/>
    <w:rsid w:val="00B6338D"/>
    <w:rsid w:val="00B634B5"/>
    <w:rsid w:val="00B637A5"/>
    <w:rsid w:val="00B63E83"/>
    <w:rsid w:val="00B647A3"/>
    <w:rsid w:val="00B65670"/>
    <w:rsid w:val="00B65701"/>
    <w:rsid w:val="00B65B5B"/>
    <w:rsid w:val="00B70D61"/>
    <w:rsid w:val="00B72265"/>
    <w:rsid w:val="00B72A2C"/>
    <w:rsid w:val="00B72C57"/>
    <w:rsid w:val="00B75D7B"/>
    <w:rsid w:val="00B75F51"/>
    <w:rsid w:val="00B800C3"/>
    <w:rsid w:val="00B802F0"/>
    <w:rsid w:val="00B80E0B"/>
    <w:rsid w:val="00B81257"/>
    <w:rsid w:val="00B8194E"/>
    <w:rsid w:val="00B83265"/>
    <w:rsid w:val="00B83526"/>
    <w:rsid w:val="00B849BC"/>
    <w:rsid w:val="00B84A8D"/>
    <w:rsid w:val="00B85D00"/>
    <w:rsid w:val="00B86A20"/>
    <w:rsid w:val="00B87BF0"/>
    <w:rsid w:val="00B90655"/>
    <w:rsid w:val="00B9119C"/>
    <w:rsid w:val="00B91E16"/>
    <w:rsid w:val="00B9208C"/>
    <w:rsid w:val="00B93076"/>
    <w:rsid w:val="00B93595"/>
    <w:rsid w:val="00B944E2"/>
    <w:rsid w:val="00B945FE"/>
    <w:rsid w:val="00B94AA8"/>
    <w:rsid w:val="00B9523B"/>
    <w:rsid w:val="00B9540F"/>
    <w:rsid w:val="00B95D5D"/>
    <w:rsid w:val="00B96751"/>
    <w:rsid w:val="00BA129F"/>
    <w:rsid w:val="00BA1857"/>
    <w:rsid w:val="00BA19B6"/>
    <w:rsid w:val="00BA22D9"/>
    <w:rsid w:val="00BA3C8B"/>
    <w:rsid w:val="00BA3DC3"/>
    <w:rsid w:val="00BA6111"/>
    <w:rsid w:val="00BA7D6C"/>
    <w:rsid w:val="00BB26D0"/>
    <w:rsid w:val="00BB2A30"/>
    <w:rsid w:val="00BB2E31"/>
    <w:rsid w:val="00BB3AA0"/>
    <w:rsid w:val="00BB47DE"/>
    <w:rsid w:val="00BB48F0"/>
    <w:rsid w:val="00BB4DA4"/>
    <w:rsid w:val="00BB592C"/>
    <w:rsid w:val="00BB5DD2"/>
    <w:rsid w:val="00BB6B4D"/>
    <w:rsid w:val="00BB6F42"/>
    <w:rsid w:val="00BB78D5"/>
    <w:rsid w:val="00BC083A"/>
    <w:rsid w:val="00BC1987"/>
    <w:rsid w:val="00BC2817"/>
    <w:rsid w:val="00BC56AA"/>
    <w:rsid w:val="00BC5B46"/>
    <w:rsid w:val="00BC6AA1"/>
    <w:rsid w:val="00BC74A3"/>
    <w:rsid w:val="00BC7C8D"/>
    <w:rsid w:val="00BC7EB1"/>
    <w:rsid w:val="00BC7F13"/>
    <w:rsid w:val="00BD04E9"/>
    <w:rsid w:val="00BD0BCD"/>
    <w:rsid w:val="00BD1FF9"/>
    <w:rsid w:val="00BD2515"/>
    <w:rsid w:val="00BD31C3"/>
    <w:rsid w:val="00BD496B"/>
    <w:rsid w:val="00BD5614"/>
    <w:rsid w:val="00BD6345"/>
    <w:rsid w:val="00BD6883"/>
    <w:rsid w:val="00BD6AF2"/>
    <w:rsid w:val="00BD7995"/>
    <w:rsid w:val="00BE042F"/>
    <w:rsid w:val="00BE1609"/>
    <w:rsid w:val="00BE1AC0"/>
    <w:rsid w:val="00BE23FC"/>
    <w:rsid w:val="00BE2A3B"/>
    <w:rsid w:val="00BE2C97"/>
    <w:rsid w:val="00BE3577"/>
    <w:rsid w:val="00BE3FB4"/>
    <w:rsid w:val="00BE4A06"/>
    <w:rsid w:val="00BE7161"/>
    <w:rsid w:val="00BE7DDD"/>
    <w:rsid w:val="00BF201E"/>
    <w:rsid w:val="00BF2A71"/>
    <w:rsid w:val="00BF4307"/>
    <w:rsid w:val="00BF75F1"/>
    <w:rsid w:val="00C00A6E"/>
    <w:rsid w:val="00C01017"/>
    <w:rsid w:val="00C0527E"/>
    <w:rsid w:val="00C054D1"/>
    <w:rsid w:val="00C055C5"/>
    <w:rsid w:val="00C060DC"/>
    <w:rsid w:val="00C06D78"/>
    <w:rsid w:val="00C11280"/>
    <w:rsid w:val="00C11DFF"/>
    <w:rsid w:val="00C12B65"/>
    <w:rsid w:val="00C13D53"/>
    <w:rsid w:val="00C173FD"/>
    <w:rsid w:val="00C2100D"/>
    <w:rsid w:val="00C2128B"/>
    <w:rsid w:val="00C214CA"/>
    <w:rsid w:val="00C21ABB"/>
    <w:rsid w:val="00C22A98"/>
    <w:rsid w:val="00C25FE1"/>
    <w:rsid w:val="00C26949"/>
    <w:rsid w:val="00C26AE4"/>
    <w:rsid w:val="00C2749F"/>
    <w:rsid w:val="00C27BE1"/>
    <w:rsid w:val="00C27C26"/>
    <w:rsid w:val="00C27F08"/>
    <w:rsid w:val="00C304BE"/>
    <w:rsid w:val="00C3157B"/>
    <w:rsid w:val="00C33054"/>
    <w:rsid w:val="00C3385E"/>
    <w:rsid w:val="00C33CA0"/>
    <w:rsid w:val="00C35142"/>
    <w:rsid w:val="00C35189"/>
    <w:rsid w:val="00C36C7D"/>
    <w:rsid w:val="00C373BF"/>
    <w:rsid w:val="00C375FA"/>
    <w:rsid w:val="00C377F1"/>
    <w:rsid w:val="00C4158F"/>
    <w:rsid w:val="00C4193F"/>
    <w:rsid w:val="00C42226"/>
    <w:rsid w:val="00C42EF5"/>
    <w:rsid w:val="00C4381A"/>
    <w:rsid w:val="00C47E16"/>
    <w:rsid w:val="00C51BFF"/>
    <w:rsid w:val="00C51C03"/>
    <w:rsid w:val="00C51FC5"/>
    <w:rsid w:val="00C5218E"/>
    <w:rsid w:val="00C54074"/>
    <w:rsid w:val="00C55065"/>
    <w:rsid w:val="00C55AC2"/>
    <w:rsid w:val="00C563C9"/>
    <w:rsid w:val="00C571EC"/>
    <w:rsid w:val="00C57528"/>
    <w:rsid w:val="00C604D5"/>
    <w:rsid w:val="00C61C48"/>
    <w:rsid w:val="00C61E5D"/>
    <w:rsid w:val="00C62FC7"/>
    <w:rsid w:val="00C64287"/>
    <w:rsid w:val="00C649A4"/>
    <w:rsid w:val="00C64B06"/>
    <w:rsid w:val="00C659AD"/>
    <w:rsid w:val="00C666D1"/>
    <w:rsid w:val="00C66737"/>
    <w:rsid w:val="00C66A57"/>
    <w:rsid w:val="00C678D9"/>
    <w:rsid w:val="00C67985"/>
    <w:rsid w:val="00C70D4E"/>
    <w:rsid w:val="00C71416"/>
    <w:rsid w:val="00C715CA"/>
    <w:rsid w:val="00C71C5D"/>
    <w:rsid w:val="00C721A3"/>
    <w:rsid w:val="00C72E7F"/>
    <w:rsid w:val="00C737DE"/>
    <w:rsid w:val="00C745DA"/>
    <w:rsid w:val="00C7463B"/>
    <w:rsid w:val="00C749C2"/>
    <w:rsid w:val="00C75CD8"/>
    <w:rsid w:val="00C77287"/>
    <w:rsid w:val="00C8054D"/>
    <w:rsid w:val="00C80A69"/>
    <w:rsid w:val="00C81EAC"/>
    <w:rsid w:val="00C8203A"/>
    <w:rsid w:val="00C825FA"/>
    <w:rsid w:val="00C8272F"/>
    <w:rsid w:val="00C82E16"/>
    <w:rsid w:val="00C8337F"/>
    <w:rsid w:val="00C84BCC"/>
    <w:rsid w:val="00C85ADD"/>
    <w:rsid w:val="00C85C57"/>
    <w:rsid w:val="00C86AC8"/>
    <w:rsid w:val="00C87170"/>
    <w:rsid w:val="00C9037D"/>
    <w:rsid w:val="00C90926"/>
    <w:rsid w:val="00C90B40"/>
    <w:rsid w:val="00C91A1A"/>
    <w:rsid w:val="00C921D8"/>
    <w:rsid w:val="00C942E3"/>
    <w:rsid w:val="00C95B94"/>
    <w:rsid w:val="00C95FFC"/>
    <w:rsid w:val="00C97232"/>
    <w:rsid w:val="00C97949"/>
    <w:rsid w:val="00CA022C"/>
    <w:rsid w:val="00CA0455"/>
    <w:rsid w:val="00CA09DB"/>
    <w:rsid w:val="00CA10C1"/>
    <w:rsid w:val="00CA238C"/>
    <w:rsid w:val="00CA4231"/>
    <w:rsid w:val="00CA7B33"/>
    <w:rsid w:val="00CB01CC"/>
    <w:rsid w:val="00CB1216"/>
    <w:rsid w:val="00CB1AFD"/>
    <w:rsid w:val="00CB1D17"/>
    <w:rsid w:val="00CB2A71"/>
    <w:rsid w:val="00CB2C98"/>
    <w:rsid w:val="00CB591D"/>
    <w:rsid w:val="00CB5DFF"/>
    <w:rsid w:val="00CB6755"/>
    <w:rsid w:val="00CB6FD5"/>
    <w:rsid w:val="00CC244D"/>
    <w:rsid w:val="00CC2E4F"/>
    <w:rsid w:val="00CC34AB"/>
    <w:rsid w:val="00CC3EDA"/>
    <w:rsid w:val="00CC485C"/>
    <w:rsid w:val="00CC5254"/>
    <w:rsid w:val="00CC58C0"/>
    <w:rsid w:val="00CC59F6"/>
    <w:rsid w:val="00CC67C5"/>
    <w:rsid w:val="00CD0F3E"/>
    <w:rsid w:val="00CD1243"/>
    <w:rsid w:val="00CD1666"/>
    <w:rsid w:val="00CD1A76"/>
    <w:rsid w:val="00CD1FDA"/>
    <w:rsid w:val="00CD23BA"/>
    <w:rsid w:val="00CD25BE"/>
    <w:rsid w:val="00CD26BF"/>
    <w:rsid w:val="00CD350F"/>
    <w:rsid w:val="00CD4316"/>
    <w:rsid w:val="00CD5033"/>
    <w:rsid w:val="00CD57DA"/>
    <w:rsid w:val="00CD66E0"/>
    <w:rsid w:val="00CD66E8"/>
    <w:rsid w:val="00CD6937"/>
    <w:rsid w:val="00CD7426"/>
    <w:rsid w:val="00CD7652"/>
    <w:rsid w:val="00CD7D5E"/>
    <w:rsid w:val="00CE0230"/>
    <w:rsid w:val="00CE09EF"/>
    <w:rsid w:val="00CE0B01"/>
    <w:rsid w:val="00CE1290"/>
    <w:rsid w:val="00CE1A94"/>
    <w:rsid w:val="00CE2D6C"/>
    <w:rsid w:val="00CE3F5F"/>
    <w:rsid w:val="00CE4A71"/>
    <w:rsid w:val="00CE4FCF"/>
    <w:rsid w:val="00CE64DA"/>
    <w:rsid w:val="00CE6FB4"/>
    <w:rsid w:val="00CE712C"/>
    <w:rsid w:val="00CE7EE5"/>
    <w:rsid w:val="00CF00DD"/>
    <w:rsid w:val="00CF0708"/>
    <w:rsid w:val="00CF080F"/>
    <w:rsid w:val="00CF0BAA"/>
    <w:rsid w:val="00CF0CE7"/>
    <w:rsid w:val="00CF1A8E"/>
    <w:rsid w:val="00CF2E54"/>
    <w:rsid w:val="00CF35E7"/>
    <w:rsid w:val="00CF66A3"/>
    <w:rsid w:val="00CF70DF"/>
    <w:rsid w:val="00D00E14"/>
    <w:rsid w:val="00D01033"/>
    <w:rsid w:val="00D01330"/>
    <w:rsid w:val="00D01C8C"/>
    <w:rsid w:val="00D0220B"/>
    <w:rsid w:val="00D02B72"/>
    <w:rsid w:val="00D0335B"/>
    <w:rsid w:val="00D043E1"/>
    <w:rsid w:val="00D04E06"/>
    <w:rsid w:val="00D057D5"/>
    <w:rsid w:val="00D05C17"/>
    <w:rsid w:val="00D067A6"/>
    <w:rsid w:val="00D101DF"/>
    <w:rsid w:val="00D11AA1"/>
    <w:rsid w:val="00D1231C"/>
    <w:rsid w:val="00D12B35"/>
    <w:rsid w:val="00D13288"/>
    <w:rsid w:val="00D13710"/>
    <w:rsid w:val="00D138B0"/>
    <w:rsid w:val="00D15382"/>
    <w:rsid w:val="00D15420"/>
    <w:rsid w:val="00D15D7E"/>
    <w:rsid w:val="00D17317"/>
    <w:rsid w:val="00D1765E"/>
    <w:rsid w:val="00D20C6D"/>
    <w:rsid w:val="00D2150D"/>
    <w:rsid w:val="00D23BB6"/>
    <w:rsid w:val="00D25686"/>
    <w:rsid w:val="00D25E3A"/>
    <w:rsid w:val="00D26BB3"/>
    <w:rsid w:val="00D26E2C"/>
    <w:rsid w:val="00D27E1E"/>
    <w:rsid w:val="00D30504"/>
    <w:rsid w:val="00D307F2"/>
    <w:rsid w:val="00D30A1B"/>
    <w:rsid w:val="00D3200D"/>
    <w:rsid w:val="00D32297"/>
    <w:rsid w:val="00D33135"/>
    <w:rsid w:val="00D33E04"/>
    <w:rsid w:val="00D34046"/>
    <w:rsid w:val="00D365E4"/>
    <w:rsid w:val="00D3761A"/>
    <w:rsid w:val="00D37AE5"/>
    <w:rsid w:val="00D40D49"/>
    <w:rsid w:val="00D43542"/>
    <w:rsid w:val="00D43752"/>
    <w:rsid w:val="00D444E2"/>
    <w:rsid w:val="00D44514"/>
    <w:rsid w:val="00D459A6"/>
    <w:rsid w:val="00D464D1"/>
    <w:rsid w:val="00D477C6"/>
    <w:rsid w:val="00D5016A"/>
    <w:rsid w:val="00D506AB"/>
    <w:rsid w:val="00D5070F"/>
    <w:rsid w:val="00D52311"/>
    <w:rsid w:val="00D5292B"/>
    <w:rsid w:val="00D547A6"/>
    <w:rsid w:val="00D56484"/>
    <w:rsid w:val="00D56E54"/>
    <w:rsid w:val="00D572B4"/>
    <w:rsid w:val="00D6004C"/>
    <w:rsid w:val="00D61797"/>
    <w:rsid w:val="00D61798"/>
    <w:rsid w:val="00D62C1D"/>
    <w:rsid w:val="00D6361F"/>
    <w:rsid w:val="00D63F19"/>
    <w:rsid w:val="00D64FEC"/>
    <w:rsid w:val="00D65450"/>
    <w:rsid w:val="00D66DB9"/>
    <w:rsid w:val="00D70180"/>
    <w:rsid w:val="00D705E2"/>
    <w:rsid w:val="00D722F3"/>
    <w:rsid w:val="00D72A98"/>
    <w:rsid w:val="00D738A5"/>
    <w:rsid w:val="00D73AD3"/>
    <w:rsid w:val="00D73B47"/>
    <w:rsid w:val="00D74669"/>
    <w:rsid w:val="00D746DA"/>
    <w:rsid w:val="00D754F8"/>
    <w:rsid w:val="00D75A7D"/>
    <w:rsid w:val="00D760F3"/>
    <w:rsid w:val="00D77932"/>
    <w:rsid w:val="00D77B28"/>
    <w:rsid w:val="00D77C82"/>
    <w:rsid w:val="00D77DAE"/>
    <w:rsid w:val="00D80876"/>
    <w:rsid w:val="00D80E5A"/>
    <w:rsid w:val="00D81BD1"/>
    <w:rsid w:val="00D823D0"/>
    <w:rsid w:val="00D82472"/>
    <w:rsid w:val="00D83439"/>
    <w:rsid w:val="00D83DDC"/>
    <w:rsid w:val="00D84C72"/>
    <w:rsid w:val="00D84CDF"/>
    <w:rsid w:val="00D859F1"/>
    <w:rsid w:val="00D862AF"/>
    <w:rsid w:val="00D86CB7"/>
    <w:rsid w:val="00D87BB7"/>
    <w:rsid w:val="00D87F0A"/>
    <w:rsid w:val="00D90174"/>
    <w:rsid w:val="00D9122E"/>
    <w:rsid w:val="00D91EAC"/>
    <w:rsid w:val="00D921D9"/>
    <w:rsid w:val="00D921E1"/>
    <w:rsid w:val="00D94FF3"/>
    <w:rsid w:val="00D9678A"/>
    <w:rsid w:val="00D96E87"/>
    <w:rsid w:val="00D97191"/>
    <w:rsid w:val="00D97428"/>
    <w:rsid w:val="00D97611"/>
    <w:rsid w:val="00DA3EB2"/>
    <w:rsid w:val="00DA4265"/>
    <w:rsid w:val="00DA51AE"/>
    <w:rsid w:val="00DA5477"/>
    <w:rsid w:val="00DA57AF"/>
    <w:rsid w:val="00DA5BCC"/>
    <w:rsid w:val="00DA6D96"/>
    <w:rsid w:val="00DA79D2"/>
    <w:rsid w:val="00DB0001"/>
    <w:rsid w:val="00DB03B3"/>
    <w:rsid w:val="00DB15FF"/>
    <w:rsid w:val="00DB17A2"/>
    <w:rsid w:val="00DB1A3F"/>
    <w:rsid w:val="00DB3183"/>
    <w:rsid w:val="00DB3982"/>
    <w:rsid w:val="00DB47AF"/>
    <w:rsid w:val="00DB5218"/>
    <w:rsid w:val="00DB522D"/>
    <w:rsid w:val="00DB57B1"/>
    <w:rsid w:val="00DB5FD9"/>
    <w:rsid w:val="00DB710F"/>
    <w:rsid w:val="00DC00EB"/>
    <w:rsid w:val="00DC1D77"/>
    <w:rsid w:val="00DC1D84"/>
    <w:rsid w:val="00DC2011"/>
    <w:rsid w:val="00DC2038"/>
    <w:rsid w:val="00DC3880"/>
    <w:rsid w:val="00DC3C6A"/>
    <w:rsid w:val="00DC5DC3"/>
    <w:rsid w:val="00DC66E6"/>
    <w:rsid w:val="00DD05F9"/>
    <w:rsid w:val="00DD09C5"/>
    <w:rsid w:val="00DD151A"/>
    <w:rsid w:val="00DD36A9"/>
    <w:rsid w:val="00DD373B"/>
    <w:rsid w:val="00DD3945"/>
    <w:rsid w:val="00DD4655"/>
    <w:rsid w:val="00DD5B95"/>
    <w:rsid w:val="00DD5CC5"/>
    <w:rsid w:val="00DD6491"/>
    <w:rsid w:val="00DD699B"/>
    <w:rsid w:val="00DE06B5"/>
    <w:rsid w:val="00DE0728"/>
    <w:rsid w:val="00DE190C"/>
    <w:rsid w:val="00DE4B4F"/>
    <w:rsid w:val="00DE4F7F"/>
    <w:rsid w:val="00DE5EAE"/>
    <w:rsid w:val="00DE740E"/>
    <w:rsid w:val="00DE7823"/>
    <w:rsid w:val="00DE79BD"/>
    <w:rsid w:val="00DF0092"/>
    <w:rsid w:val="00DF052F"/>
    <w:rsid w:val="00DF1AF5"/>
    <w:rsid w:val="00DF1B39"/>
    <w:rsid w:val="00DF1B5A"/>
    <w:rsid w:val="00DF27B0"/>
    <w:rsid w:val="00DF294C"/>
    <w:rsid w:val="00DF2CA5"/>
    <w:rsid w:val="00DF314B"/>
    <w:rsid w:val="00DF3B36"/>
    <w:rsid w:val="00DF3EAF"/>
    <w:rsid w:val="00DF4278"/>
    <w:rsid w:val="00DF49DE"/>
    <w:rsid w:val="00DF5C4C"/>
    <w:rsid w:val="00DF5EAD"/>
    <w:rsid w:val="00DF68C6"/>
    <w:rsid w:val="00DF6C62"/>
    <w:rsid w:val="00DF7C76"/>
    <w:rsid w:val="00DF7E61"/>
    <w:rsid w:val="00E01F3F"/>
    <w:rsid w:val="00E02207"/>
    <w:rsid w:val="00E032DD"/>
    <w:rsid w:val="00E10336"/>
    <w:rsid w:val="00E104F4"/>
    <w:rsid w:val="00E10C7D"/>
    <w:rsid w:val="00E1225A"/>
    <w:rsid w:val="00E12DF6"/>
    <w:rsid w:val="00E13120"/>
    <w:rsid w:val="00E147D1"/>
    <w:rsid w:val="00E1481D"/>
    <w:rsid w:val="00E15427"/>
    <w:rsid w:val="00E1564C"/>
    <w:rsid w:val="00E17088"/>
    <w:rsid w:val="00E17590"/>
    <w:rsid w:val="00E1786A"/>
    <w:rsid w:val="00E2002C"/>
    <w:rsid w:val="00E20321"/>
    <w:rsid w:val="00E210ED"/>
    <w:rsid w:val="00E21BAB"/>
    <w:rsid w:val="00E21D83"/>
    <w:rsid w:val="00E24D7D"/>
    <w:rsid w:val="00E25E59"/>
    <w:rsid w:val="00E27523"/>
    <w:rsid w:val="00E3097D"/>
    <w:rsid w:val="00E30D6B"/>
    <w:rsid w:val="00E310B3"/>
    <w:rsid w:val="00E310E7"/>
    <w:rsid w:val="00E31150"/>
    <w:rsid w:val="00E32C12"/>
    <w:rsid w:val="00E32D36"/>
    <w:rsid w:val="00E3393A"/>
    <w:rsid w:val="00E34BA6"/>
    <w:rsid w:val="00E34E19"/>
    <w:rsid w:val="00E3508B"/>
    <w:rsid w:val="00E363CE"/>
    <w:rsid w:val="00E3677B"/>
    <w:rsid w:val="00E369BC"/>
    <w:rsid w:val="00E36FA0"/>
    <w:rsid w:val="00E41BCA"/>
    <w:rsid w:val="00E41CBF"/>
    <w:rsid w:val="00E42A8B"/>
    <w:rsid w:val="00E42D74"/>
    <w:rsid w:val="00E42FD3"/>
    <w:rsid w:val="00E441DF"/>
    <w:rsid w:val="00E4423E"/>
    <w:rsid w:val="00E46921"/>
    <w:rsid w:val="00E479B6"/>
    <w:rsid w:val="00E47CDD"/>
    <w:rsid w:val="00E52F3B"/>
    <w:rsid w:val="00E5394D"/>
    <w:rsid w:val="00E54931"/>
    <w:rsid w:val="00E55F1B"/>
    <w:rsid w:val="00E606AD"/>
    <w:rsid w:val="00E626C3"/>
    <w:rsid w:val="00E63115"/>
    <w:rsid w:val="00E63275"/>
    <w:rsid w:val="00E638C9"/>
    <w:rsid w:val="00E63C1F"/>
    <w:rsid w:val="00E640C3"/>
    <w:rsid w:val="00E64A65"/>
    <w:rsid w:val="00E6546B"/>
    <w:rsid w:val="00E67143"/>
    <w:rsid w:val="00E673DD"/>
    <w:rsid w:val="00E7213F"/>
    <w:rsid w:val="00E72F90"/>
    <w:rsid w:val="00E7337F"/>
    <w:rsid w:val="00E7368F"/>
    <w:rsid w:val="00E743DE"/>
    <w:rsid w:val="00E74E08"/>
    <w:rsid w:val="00E7524B"/>
    <w:rsid w:val="00E75C77"/>
    <w:rsid w:val="00E77CB4"/>
    <w:rsid w:val="00E80872"/>
    <w:rsid w:val="00E81BA1"/>
    <w:rsid w:val="00E82C8C"/>
    <w:rsid w:val="00E83C67"/>
    <w:rsid w:val="00E8504B"/>
    <w:rsid w:val="00E86081"/>
    <w:rsid w:val="00E8657C"/>
    <w:rsid w:val="00E8669B"/>
    <w:rsid w:val="00E87B34"/>
    <w:rsid w:val="00E87CA9"/>
    <w:rsid w:val="00E928B1"/>
    <w:rsid w:val="00E92ABB"/>
    <w:rsid w:val="00E93A77"/>
    <w:rsid w:val="00E9407C"/>
    <w:rsid w:val="00E941A9"/>
    <w:rsid w:val="00E9514E"/>
    <w:rsid w:val="00E96937"/>
    <w:rsid w:val="00E977C3"/>
    <w:rsid w:val="00EA059C"/>
    <w:rsid w:val="00EA07D9"/>
    <w:rsid w:val="00EA1DDA"/>
    <w:rsid w:val="00EA2121"/>
    <w:rsid w:val="00EA2E23"/>
    <w:rsid w:val="00EA392A"/>
    <w:rsid w:val="00EA4ED3"/>
    <w:rsid w:val="00EA5C64"/>
    <w:rsid w:val="00EA5EAE"/>
    <w:rsid w:val="00EA5EB0"/>
    <w:rsid w:val="00EA61C1"/>
    <w:rsid w:val="00EA750C"/>
    <w:rsid w:val="00EB055B"/>
    <w:rsid w:val="00EB2CA2"/>
    <w:rsid w:val="00EB2E87"/>
    <w:rsid w:val="00EB3082"/>
    <w:rsid w:val="00EB3F55"/>
    <w:rsid w:val="00EB551A"/>
    <w:rsid w:val="00EB5F8A"/>
    <w:rsid w:val="00EB630A"/>
    <w:rsid w:val="00EB70C8"/>
    <w:rsid w:val="00EC004D"/>
    <w:rsid w:val="00EC013C"/>
    <w:rsid w:val="00EC0CC3"/>
    <w:rsid w:val="00EC19CF"/>
    <w:rsid w:val="00EC23B7"/>
    <w:rsid w:val="00EC331B"/>
    <w:rsid w:val="00EC334C"/>
    <w:rsid w:val="00EC3909"/>
    <w:rsid w:val="00EC4434"/>
    <w:rsid w:val="00EC5187"/>
    <w:rsid w:val="00ED02DC"/>
    <w:rsid w:val="00ED10C2"/>
    <w:rsid w:val="00ED5238"/>
    <w:rsid w:val="00ED52D6"/>
    <w:rsid w:val="00ED5EB6"/>
    <w:rsid w:val="00ED5F2C"/>
    <w:rsid w:val="00ED62E2"/>
    <w:rsid w:val="00ED6398"/>
    <w:rsid w:val="00ED643F"/>
    <w:rsid w:val="00ED6FFA"/>
    <w:rsid w:val="00EE06C2"/>
    <w:rsid w:val="00EE08CD"/>
    <w:rsid w:val="00EE133A"/>
    <w:rsid w:val="00EE1CA8"/>
    <w:rsid w:val="00EE20C8"/>
    <w:rsid w:val="00EE2660"/>
    <w:rsid w:val="00EE2D17"/>
    <w:rsid w:val="00EE4D7B"/>
    <w:rsid w:val="00EE6047"/>
    <w:rsid w:val="00EE7017"/>
    <w:rsid w:val="00EF0D6F"/>
    <w:rsid w:val="00EF2421"/>
    <w:rsid w:val="00EF28FD"/>
    <w:rsid w:val="00EF2F0B"/>
    <w:rsid w:val="00EF3B87"/>
    <w:rsid w:val="00EF4CD2"/>
    <w:rsid w:val="00EF582A"/>
    <w:rsid w:val="00EF64D6"/>
    <w:rsid w:val="00EF6F99"/>
    <w:rsid w:val="00EF73F9"/>
    <w:rsid w:val="00F00F28"/>
    <w:rsid w:val="00F01387"/>
    <w:rsid w:val="00F0169C"/>
    <w:rsid w:val="00F02209"/>
    <w:rsid w:val="00F02825"/>
    <w:rsid w:val="00F03924"/>
    <w:rsid w:val="00F03FB6"/>
    <w:rsid w:val="00F04F97"/>
    <w:rsid w:val="00F075FF"/>
    <w:rsid w:val="00F1014B"/>
    <w:rsid w:val="00F11086"/>
    <w:rsid w:val="00F1184A"/>
    <w:rsid w:val="00F12915"/>
    <w:rsid w:val="00F1398D"/>
    <w:rsid w:val="00F13B1B"/>
    <w:rsid w:val="00F17395"/>
    <w:rsid w:val="00F2028E"/>
    <w:rsid w:val="00F206E8"/>
    <w:rsid w:val="00F2073C"/>
    <w:rsid w:val="00F20B92"/>
    <w:rsid w:val="00F2161E"/>
    <w:rsid w:val="00F22672"/>
    <w:rsid w:val="00F233FC"/>
    <w:rsid w:val="00F249E8"/>
    <w:rsid w:val="00F24B51"/>
    <w:rsid w:val="00F24B55"/>
    <w:rsid w:val="00F2764B"/>
    <w:rsid w:val="00F309BD"/>
    <w:rsid w:val="00F318E3"/>
    <w:rsid w:val="00F31B26"/>
    <w:rsid w:val="00F34438"/>
    <w:rsid w:val="00F34F27"/>
    <w:rsid w:val="00F363A6"/>
    <w:rsid w:val="00F36BF1"/>
    <w:rsid w:val="00F374C2"/>
    <w:rsid w:val="00F4026C"/>
    <w:rsid w:val="00F40FF2"/>
    <w:rsid w:val="00F41AC6"/>
    <w:rsid w:val="00F4299E"/>
    <w:rsid w:val="00F42C63"/>
    <w:rsid w:val="00F42E0F"/>
    <w:rsid w:val="00F43608"/>
    <w:rsid w:val="00F43A72"/>
    <w:rsid w:val="00F43EB3"/>
    <w:rsid w:val="00F440F5"/>
    <w:rsid w:val="00F456F3"/>
    <w:rsid w:val="00F45780"/>
    <w:rsid w:val="00F45A40"/>
    <w:rsid w:val="00F47A6E"/>
    <w:rsid w:val="00F47D01"/>
    <w:rsid w:val="00F50A29"/>
    <w:rsid w:val="00F50C9E"/>
    <w:rsid w:val="00F53A53"/>
    <w:rsid w:val="00F54019"/>
    <w:rsid w:val="00F54564"/>
    <w:rsid w:val="00F55741"/>
    <w:rsid w:val="00F57252"/>
    <w:rsid w:val="00F57E84"/>
    <w:rsid w:val="00F61066"/>
    <w:rsid w:val="00F641D2"/>
    <w:rsid w:val="00F65919"/>
    <w:rsid w:val="00F65C2E"/>
    <w:rsid w:val="00F65DBB"/>
    <w:rsid w:val="00F66592"/>
    <w:rsid w:val="00F665C1"/>
    <w:rsid w:val="00F6667F"/>
    <w:rsid w:val="00F6793F"/>
    <w:rsid w:val="00F7001B"/>
    <w:rsid w:val="00F70FED"/>
    <w:rsid w:val="00F71270"/>
    <w:rsid w:val="00F714D4"/>
    <w:rsid w:val="00F72418"/>
    <w:rsid w:val="00F73A91"/>
    <w:rsid w:val="00F7430E"/>
    <w:rsid w:val="00F74437"/>
    <w:rsid w:val="00F7701A"/>
    <w:rsid w:val="00F7747D"/>
    <w:rsid w:val="00F77FCE"/>
    <w:rsid w:val="00F813F9"/>
    <w:rsid w:val="00F8171B"/>
    <w:rsid w:val="00F839F1"/>
    <w:rsid w:val="00F84A47"/>
    <w:rsid w:val="00F84D4F"/>
    <w:rsid w:val="00F85E90"/>
    <w:rsid w:val="00F86471"/>
    <w:rsid w:val="00F86F50"/>
    <w:rsid w:val="00F87781"/>
    <w:rsid w:val="00F91EBA"/>
    <w:rsid w:val="00F91ED4"/>
    <w:rsid w:val="00F92491"/>
    <w:rsid w:val="00F925A3"/>
    <w:rsid w:val="00F94054"/>
    <w:rsid w:val="00F947F2"/>
    <w:rsid w:val="00F9619D"/>
    <w:rsid w:val="00F9672A"/>
    <w:rsid w:val="00F9754F"/>
    <w:rsid w:val="00F97B6E"/>
    <w:rsid w:val="00F97E28"/>
    <w:rsid w:val="00F97FFD"/>
    <w:rsid w:val="00FA0136"/>
    <w:rsid w:val="00FA113D"/>
    <w:rsid w:val="00FA17CB"/>
    <w:rsid w:val="00FA2757"/>
    <w:rsid w:val="00FA3043"/>
    <w:rsid w:val="00FA3152"/>
    <w:rsid w:val="00FA3593"/>
    <w:rsid w:val="00FA49A2"/>
    <w:rsid w:val="00FA4E6B"/>
    <w:rsid w:val="00FA5781"/>
    <w:rsid w:val="00FA6985"/>
    <w:rsid w:val="00FA7D46"/>
    <w:rsid w:val="00FA7EEF"/>
    <w:rsid w:val="00FB3DD4"/>
    <w:rsid w:val="00FB4470"/>
    <w:rsid w:val="00FB5F1B"/>
    <w:rsid w:val="00FB641B"/>
    <w:rsid w:val="00FB706A"/>
    <w:rsid w:val="00FB717B"/>
    <w:rsid w:val="00FB77D7"/>
    <w:rsid w:val="00FC0390"/>
    <w:rsid w:val="00FC18B9"/>
    <w:rsid w:val="00FC1A36"/>
    <w:rsid w:val="00FC2E98"/>
    <w:rsid w:val="00FC34D8"/>
    <w:rsid w:val="00FC3720"/>
    <w:rsid w:val="00FC39AB"/>
    <w:rsid w:val="00FC4500"/>
    <w:rsid w:val="00FC49BA"/>
    <w:rsid w:val="00FC53E3"/>
    <w:rsid w:val="00FC6111"/>
    <w:rsid w:val="00FC7557"/>
    <w:rsid w:val="00FD01CF"/>
    <w:rsid w:val="00FD0C82"/>
    <w:rsid w:val="00FD15EE"/>
    <w:rsid w:val="00FD1F1A"/>
    <w:rsid w:val="00FD2490"/>
    <w:rsid w:val="00FD51D6"/>
    <w:rsid w:val="00FD548F"/>
    <w:rsid w:val="00FE0067"/>
    <w:rsid w:val="00FE1E83"/>
    <w:rsid w:val="00FE200C"/>
    <w:rsid w:val="00FE23C4"/>
    <w:rsid w:val="00FE2D8D"/>
    <w:rsid w:val="00FE3F4A"/>
    <w:rsid w:val="00FE4080"/>
    <w:rsid w:val="00FE4FC1"/>
    <w:rsid w:val="00FE68AC"/>
    <w:rsid w:val="00FE75E1"/>
    <w:rsid w:val="00FE7801"/>
    <w:rsid w:val="00FF1E18"/>
    <w:rsid w:val="00FF206B"/>
    <w:rsid w:val="00FF46B8"/>
    <w:rsid w:val="00FF493F"/>
    <w:rsid w:val="00FF4CDF"/>
    <w:rsid w:val="00FF5184"/>
    <w:rsid w:val="00FF5712"/>
    <w:rsid w:val="00FF5D6C"/>
    <w:rsid w:val="00FF65F6"/>
    <w:rsid w:val="0104465F"/>
    <w:rsid w:val="01105EB1"/>
    <w:rsid w:val="01AF6EBF"/>
    <w:rsid w:val="028307B5"/>
    <w:rsid w:val="03137B93"/>
    <w:rsid w:val="0331431D"/>
    <w:rsid w:val="03877D47"/>
    <w:rsid w:val="04B06A73"/>
    <w:rsid w:val="04E82884"/>
    <w:rsid w:val="05B4089A"/>
    <w:rsid w:val="06285207"/>
    <w:rsid w:val="07F753AD"/>
    <w:rsid w:val="08B1318A"/>
    <w:rsid w:val="08BB48B8"/>
    <w:rsid w:val="08CC4978"/>
    <w:rsid w:val="09191014"/>
    <w:rsid w:val="0A525C9C"/>
    <w:rsid w:val="0AE60DF9"/>
    <w:rsid w:val="0B1F5C17"/>
    <w:rsid w:val="0BD925AD"/>
    <w:rsid w:val="0C040558"/>
    <w:rsid w:val="0C1318F4"/>
    <w:rsid w:val="0CB11F5E"/>
    <w:rsid w:val="0CF84979"/>
    <w:rsid w:val="0E653845"/>
    <w:rsid w:val="0EF16F8A"/>
    <w:rsid w:val="0F571585"/>
    <w:rsid w:val="10590046"/>
    <w:rsid w:val="10AA6901"/>
    <w:rsid w:val="11216831"/>
    <w:rsid w:val="11B159F6"/>
    <w:rsid w:val="11B16175"/>
    <w:rsid w:val="11D73E10"/>
    <w:rsid w:val="125955C4"/>
    <w:rsid w:val="126B6DE9"/>
    <w:rsid w:val="12AE427E"/>
    <w:rsid w:val="13E0137B"/>
    <w:rsid w:val="13E84233"/>
    <w:rsid w:val="13FD1BD8"/>
    <w:rsid w:val="156619C9"/>
    <w:rsid w:val="17993366"/>
    <w:rsid w:val="17CB6F82"/>
    <w:rsid w:val="180C1AAB"/>
    <w:rsid w:val="1833179C"/>
    <w:rsid w:val="194627C4"/>
    <w:rsid w:val="195D7873"/>
    <w:rsid w:val="19DC1657"/>
    <w:rsid w:val="1A193B0A"/>
    <w:rsid w:val="1A8B43EE"/>
    <w:rsid w:val="1AC612CA"/>
    <w:rsid w:val="1B7E5F80"/>
    <w:rsid w:val="1BDB2B53"/>
    <w:rsid w:val="1BEF5381"/>
    <w:rsid w:val="1C496B07"/>
    <w:rsid w:val="1C591FB0"/>
    <w:rsid w:val="1D595440"/>
    <w:rsid w:val="1D8811F3"/>
    <w:rsid w:val="1E771C0C"/>
    <w:rsid w:val="1F246530"/>
    <w:rsid w:val="20142147"/>
    <w:rsid w:val="20C87861"/>
    <w:rsid w:val="20ED2C35"/>
    <w:rsid w:val="210F1FFC"/>
    <w:rsid w:val="219B5C2E"/>
    <w:rsid w:val="22641E1E"/>
    <w:rsid w:val="228902E7"/>
    <w:rsid w:val="23864BBC"/>
    <w:rsid w:val="24D60B03"/>
    <w:rsid w:val="252326AE"/>
    <w:rsid w:val="256F0782"/>
    <w:rsid w:val="2689652C"/>
    <w:rsid w:val="275C54E3"/>
    <w:rsid w:val="284A0829"/>
    <w:rsid w:val="28A43236"/>
    <w:rsid w:val="29023C66"/>
    <w:rsid w:val="293465D6"/>
    <w:rsid w:val="297809E0"/>
    <w:rsid w:val="2BD74228"/>
    <w:rsid w:val="2BE47539"/>
    <w:rsid w:val="2C7C5A0D"/>
    <w:rsid w:val="2E8A527B"/>
    <w:rsid w:val="2E904A76"/>
    <w:rsid w:val="2E940E3A"/>
    <w:rsid w:val="2EE12127"/>
    <w:rsid w:val="30B05364"/>
    <w:rsid w:val="31365719"/>
    <w:rsid w:val="32A0644D"/>
    <w:rsid w:val="333C67C2"/>
    <w:rsid w:val="3448144F"/>
    <w:rsid w:val="344877F7"/>
    <w:rsid w:val="34EC1A2E"/>
    <w:rsid w:val="34F10F1D"/>
    <w:rsid w:val="35151639"/>
    <w:rsid w:val="35291A71"/>
    <w:rsid w:val="35B46AFC"/>
    <w:rsid w:val="35CD6847"/>
    <w:rsid w:val="35F21FD4"/>
    <w:rsid w:val="3639577B"/>
    <w:rsid w:val="365D596C"/>
    <w:rsid w:val="370B5A97"/>
    <w:rsid w:val="373B3990"/>
    <w:rsid w:val="376A6108"/>
    <w:rsid w:val="3798755C"/>
    <w:rsid w:val="38885189"/>
    <w:rsid w:val="389501D6"/>
    <w:rsid w:val="38F54CAF"/>
    <w:rsid w:val="393F5DFE"/>
    <w:rsid w:val="3A1F170D"/>
    <w:rsid w:val="3A9A1FEB"/>
    <w:rsid w:val="3ADB7781"/>
    <w:rsid w:val="3B1E1E55"/>
    <w:rsid w:val="3BA3197B"/>
    <w:rsid w:val="3BC02865"/>
    <w:rsid w:val="3BC95D5F"/>
    <w:rsid w:val="3C1D2FA4"/>
    <w:rsid w:val="3DE479ED"/>
    <w:rsid w:val="3EFA0F92"/>
    <w:rsid w:val="3F6541F0"/>
    <w:rsid w:val="3F9D594C"/>
    <w:rsid w:val="40C24673"/>
    <w:rsid w:val="40E0758B"/>
    <w:rsid w:val="413B03EF"/>
    <w:rsid w:val="4144137A"/>
    <w:rsid w:val="421617EB"/>
    <w:rsid w:val="436E559A"/>
    <w:rsid w:val="43BE26B8"/>
    <w:rsid w:val="446177D2"/>
    <w:rsid w:val="44B738AE"/>
    <w:rsid w:val="44F32C2E"/>
    <w:rsid w:val="454D3CB0"/>
    <w:rsid w:val="45E232D5"/>
    <w:rsid w:val="45E87A97"/>
    <w:rsid w:val="476A4D5C"/>
    <w:rsid w:val="47D8063E"/>
    <w:rsid w:val="48080441"/>
    <w:rsid w:val="480B705B"/>
    <w:rsid w:val="48610264"/>
    <w:rsid w:val="487D19CC"/>
    <w:rsid w:val="488102DF"/>
    <w:rsid w:val="48AE1951"/>
    <w:rsid w:val="48E120A2"/>
    <w:rsid w:val="49FD0493"/>
    <w:rsid w:val="4A0A5969"/>
    <w:rsid w:val="4A8729B8"/>
    <w:rsid w:val="4A981A25"/>
    <w:rsid w:val="4A9E41C0"/>
    <w:rsid w:val="4ACD6967"/>
    <w:rsid w:val="4B426A41"/>
    <w:rsid w:val="4B820A35"/>
    <w:rsid w:val="4C6B37DA"/>
    <w:rsid w:val="4CEF667E"/>
    <w:rsid w:val="4D0E4AE7"/>
    <w:rsid w:val="4DB44843"/>
    <w:rsid w:val="4DEC7570"/>
    <w:rsid w:val="4E52543E"/>
    <w:rsid w:val="4F033EC4"/>
    <w:rsid w:val="4F526FF0"/>
    <w:rsid w:val="4FCA0F43"/>
    <w:rsid w:val="503B0FD3"/>
    <w:rsid w:val="509154C8"/>
    <w:rsid w:val="50E62822"/>
    <w:rsid w:val="50EB66FA"/>
    <w:rsid w:val="512D0DE0"/>
    <w:rsid w:val="51E61E5C"/>
    <w:rsid w:val="531C5882"/>
    <w:rsid w:val="536D314B"/>
    <w:rsid w:val="54B30E41"/>
    <w:rsid w:val="54EA6CE5"/>
    <w:rsid w:val="557A7537"/>
    <w:rsid w:val="557E100E"/>
    <w:rsid w:val="55BB02B6"/>
    <w:rsid w:val="5610122D"/>
    <w:rsid w:val="56A33C92"/>
    <w:rsid w:val="57433C58"/>
    <w:rsid w:val="58FD4124"/>
    <w:rsid w:val="597949BA"/>
    <w:rsid w:val="59AA5E19"/>
    <w:rsid w:val="59DD74BB"/>
    <w:rsid w:val="59FA5F6C"/>
    <w:rsid w:val="5A3102DD"/>
    <w:rsid w:val="5AB3646E"/>
    <w:rsid w:val="5D9F3C5E"/>
    <w:rsid w:val="5DE41CF5"/>
    <w:rsid w:val="5EAC1103"/>
    <w:rsid w:val="5F8F7FDB"/>
    <w:rsid w:val="60224A2F"/>
    <w:rsid w:val="60335057"/>
    <w:rsid w:val="60A07CE1"/>
    <w:rsid w:val="61237297"/>
    <w:rsid w:val="61406582"/>
    <w:rsid w:val="621E645A"/>
    <w:rsid w:val="62880692"/>
    <w:rsid w:val="632D3E26"/>
    <w:rsid w:val="638B599F"/>
    <w:rsid w:val="63A224F4"/>
    <w:rsid w:val="648814C7"/>
    <w:rsid w:val="65374BF5"/>
    <w:rsid w:val="65C00EB6"/>
    <w:rsid w:val="66B83C43"/>
    <w:rsid w:val="66D62C5E"/>
    <w:rsid w:val="6729012B"/>
    <w:rsid w:val="674457E7"/>
    <w:rsid w:val="67FA77B0"/>
    <w:rsid w:val="6A0562F8"/>
    <w:rsid w:val="6AEC1066"/>
    <w:rsid w:val="6BC2462A"/>
    <w:rsid w:val="6C1C3E4D"/>
    <w:rsid w:val="6C564418"/>
    <w:rsid w:val="6CFD30FA"/>
    <w:rsid w:val="6D24642A"/>
    <w:rsid w:val="6DD05B9A"/>
    <w:rsid w:val="6E85456A"/>
    <w:rsid w:val="6E93705E"/>
    <w:rsid w:val="6F0A16C0"/>
    <w:rsid w:val="70164C54"/>
    <w:rsid w:val="70356386"/>
    <w:rsid w:val="7056597E"/>
    <w:rsid w:val="70611BDF"/>
    <w:rsid w:val="71006F0C"/>
    <w:rsid w:val="715A4E53"/>
    <w:rsid w:val="717D6A86"/>
    <w:rsid w:val="71BB7160"/>
    <w:rsid w:val="71E00465"/>
    <w:rsid w:val="73792988"/>
    <w:rsid w:val="75350F9F"/>
    <w:rsid w:val="759A6FEE"/>
    <w:rsid w:val="77607865"/>
    <w:rsid w:val="77673F32"/>
    <w:rsid w:val="78105D67"/>
    <w:rsid w:val="78685D8E"/>
    <w:rsid w:val="79210DB6"/>
    <w:rsid w:val="7A3F4941"/>
    <w:rsid w:val="7A6A5274"/>
    <w:rsid w:val="7B566C76"/>
    <w:rsid w:val="7B8551CF"/>
    <w:rsid w:val="7C6626F5"/>
    <w:rsid w:val="7CB051B4"/>
    <w:rsid w:val="7CFF6D9B"/>
    <w:rsid w:val="7D124E1E"/>
    <w:rsid w:val="7E193ACA"/>
    <w:rsid w:val="7E9039D3"/>
    <w:rsid w:val="7E9B481C"/>
    <w:rsid w:val="AFB537C6"/>
    <w:rsid w:val="D4BF349E"/>
    <w:rsid w:val="F127CF4C"/>
    <w:rsid w:val="F9323DE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6"/>
    <w:autoRedefine/>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5"/>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9"/>
    <w:autoRedefine/>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1"/>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5">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link w:val="37"/>
    <w:autoRedefine/>
    <w:semiHidden/>
    <w:unhideWhenUsed/>
    <w:qFormat/>
    <w:uiPriority w:val="99"/>
    <w:pPr>
      <w:jc w:val="left"/>
    </w:pPr>
  </w:style>
  <w:style w:type="paragraph" w:styleId="7">
    <w:name w:val="Balloon Text"/>
    <w:basedOn w:val="1"/>
    <w:link w:val="19"/>
    <w:autoRedefine/>
    <w:semiHidden/>
    <w:unhideWhenUsed/>
    <w:qFormat/>
    <w:uiPriority w:val="99"/>
    <w:rPr>
      <w:sz w:val="18"/>
      <w:szCs w:val="18"/>
    </w:rPr>
  </w:style>
  <w:style w:type="paragraph" w:styleId="8">
    <w:name w:val="footer"/>
    <w:basedOn w:val="1"/>
    <w:link w:val="22"/>
    <w:autoRedefine/>
    <w:unhideWhenUsed/>
    <w:qFormat/>
    <w:uiPriority w:val="99"/>
    <w:pPr>
      <w:tabs>
        <w:tab w:val="center" w:pos="4153"/>
        <w:tab w:val="right" w:pos="8306"/>
      </w:tabs>
      <w:snapToGrid w:val="0"/>
      <w:jc w:val="left"/>
    </w:pPr>
    <w:rPr>
      <w:sz w:val="18"/>
      <w:szCs w:val="18"/>
    </w:rPr>
  </w:style>
  <w:style w:type="paragraph" w:styleId="9">
    <w:name w:val="header"/>
    <w:basedOn w:val="1"/>
    <w:link w:val="2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1">
    <w:name w:val="annotation subject"/>
    <w:basedOn w:val="6"/>
    <w:next w:val="6"/>
    <w:link w:val="38"/>
    <w:autoRedefine/>
    <w:semiHidden/>
    <w:unhideWhenUsed/>
    <w:qFormat/>
    <w:uiPriority w:val="99"/>
    <w:rPr>
      <w:b/>
      <w:bCs/>
    </w:rPr>
  </w:style>
  <w:style w:type="table" w:styleId="13">
    <w:name w:val="Table Grid"/>
    <w:basedOn w:val="12"/>
    <w:autoRedefine/>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table" w:styleId="14">
    <w:name w:val="Medium Grid 3 Accent 1"/>
    <w:basedOn w:val="12"/>
    <w:autoRedefine/>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character" w:styleId="16">
    <w:name w:val="Strong"/>
    <w:basedOn w:val="15"/>
    <w:autoRedefine/>
    <w:qFormat/>
    <w:uiPriority w:val="22"/>
    <w:rPr>
      <w:b/>
      <w:bCs/>
    </w:rPr>
  </w:style>
  <w:style w:type="character" w:styleId="17">
    <w:name w:val="Hyperlink"/>
    <w:basedOn w:val="15"/>
    <w:autoRedefine/>
    <w:unhideWhenUsed/>
    <w:qFormat/>
    <w:uiPriority w:val="99"/>
    <w:rPr>
      <w:color w:val="0000FF" w:themeColor="hyperlink"/>
      <w:u w:val="single"/>
      <w14:textFill>
        <w14:solidFill>
          <w14:schemeClr w14:val="hlink"/>
        </w14:solidFill>
      </w14:textFill>
    </w:rPr>
  </w:style>
  <w:style w:type="character" w:styleId="18">
    <w:name w:val="annotation reference"/>
    <w:basedOn w:val="15"/>
    <w:autoRedefine/>
    <w:semiHidden/>
    <w:unhideWhenUsed/>
    <w:qFormat/>
    <w:uiPriority w:val="99"/>
    <w:rPr>
      <w:sz w:val="21"/>
      <w:szCs w:val="21"/>
    </w:rPr>
  </w:style>
  <w:style w:type="character" w:customStyle="1" w:styleId="19">
    <w:name w:val="批注框文本 字符"/>
    <w:basedOn w:val="15"/>
    <w:link w:val="7"/>
    <w:autoRedefine/>
    <w:semiHidden/>
    <w:qFormat/>
    <w:uiPriority w:val="99"/>
    <w:rPr>
      <w:sz w:val="18"/>
      <w:szCs w:val="18"/>
    </w:rPr>
  </w:style>
  <w:style w:type="paragraph" w:styleId="20">
    <w:name w:val="List Paragraph"/>
    <w:basedOn w:val="1"/>
    <w:autoRedefine/>
    <w:qFormat/>
    <w:uiPriority w:val="34"/>
    <w:pPr>
      <w:ind w:firstLine="420" w:firstLineChars="200"/>
    </w:pPr>
  </w:style>
  <w:style w:type="character" w:customStyle="1" w:styleId="21">
    <w:name w:val="页眉 字符"/>
    <w:basedOn w:val="15"/>
    <w:link w:val="9"/>
    <w:autoRedefine/>
    <w:qFormat/>
    <w:uiPriority w:val="99"/>
    <w:rPr>
      <w:sz w:val="18"/>
      <w:szCs w:val="18"/>
    </w:rPr>
  </w:style>
  <w:style w:type="character" w:customStyle="1" w:styleId="22">
    <w:name w:val="页脚 字符"/>
    <w:basedOn w:val="15"/>
    <w:link w:val="8"/>
    <w:autoRedefine/>
    <w:qFormat/>
    <w:uiPriority w:val="99"/>
    <w:rPr>
      <w:sz w:val="18"/>
      <w:szCs w:val="18"/>
    </w:rPr>
  </w:style>
  <w:style w:type="character" w:customStyle="1" w:styleId="23">
    <w:name w:val="apple-converted-space"/>
    <w:basedOn w:val="15"/>
    <w:autoRedefine/>
    <w:qFormat/>
    <w:uiPriority w:val="0"/>
  </w:style>
  <w:style w:type="paragraph" w:customStyle="1" w:styleId="24">
    <w:name w:val="Default"/>
    <w:autoRedefine/>
    <w:qFormat/>
    <w:uiPriority w:val="0"/>
    <w:pPr>
      <w:widowControl w:val="0"/>
      <w:autoSpaceDE w:val="0"/>
      <w:autoSpaceDN w:val="0"/>
      <w:adjustRightInd w:val="0"/>
    </w:pPr>
    <w:rPr>
      <w:rFonts w:ascii="Arial" w:hAnsi="Arial" w:cs="Arial" w:eastAsiaTheme="minorEastAsia"/>
      <w:color w:val="000000"/>
      <w:sz w:val="24"/>
      <w:szCs w:val="24"/>
      <w:lang w:val="en-US" w:eastAsia="zh-CN" w:bidi="ar-SA"/>
    </w:rPr>
  </w:style>
  <w:style w:type="paragraph" w:customStyle="1" w:styleId="25">
    <w:name w:val="行业周报正文"/>
    <w:basedOn w:val="1"/>
    <w:link w:val="26"/>
    <w:autoRedefine/>
    <w:qFormat/>
    <w:uiPriority w:val="0"/>
    <w:pPr>
      <w:shd w:val="clear" w:color="auto" w:fill="FFFFFF"/>
      <w:spacing w:line="360" w:lineRule="auto"/>
    </w:pPr>
    <w:rPr>
      <w:color w:val="000000"/>
      <w:szCs w:val="21"/>
      <w:shd w:val="clear" w:color="auto" w:fill="FFFFFF"/>
    </w:rPr>
  </w:style>
  <w:style w:type="character" w:customStyle="1" w:styleId="26">
    <w:name w:val="行业周报正文 Char"/>
    <w:basedOn w:val="15"/>
    <w:link w:val="25"/>
    <w:autoRedefine/>
    <w:qFormat/>
    <w:uiPriority w:val="0"/>
    <w:rPr>
      <w:color w:val="000000"/>
      <w:szCs w:val="21"/>
      <w:shd w:val="clear" w:color="auto" w:fill="FFFFFF"/>
    </w:rPr>
  </w:style>
  <w:style w:type="character" w:customStyle="1" w:styleId="27">
    <w:name w:val="style1"/>
    <w:basedOn w:val="15"/>
    <w:autoRedefine/>
    <w:qFormat/>
    <w:uiPriority w:val="0"/>
  </w:style>
  <w:style w:type="paragraph" w:customStyle="1" w:styleId="28">
    <w:name w:val="周报二级标题"/>
    <w:basedOn w:val="1"/>
    <w:link w:val="29"/>
    <w:autoRedefine/>
    <w:qFormat/>
    <w:uiPriority w:val="0"/>
    <w:pPr>
      <w:spacing w:line="360" w:lineRule="auto"/>
    </w:pPr>
    <w:rPr>
      <w:b/>
      <w:sz w:val="24"/>
      <w:szCs w:val="24"/>
    </w:rPr>
  </w:style>
  <w:style w:type="character" w:customStyle="1" w:styleId="29">
    <w:name w:val="周报二级标题 Char"/>
    <w:basedOn w:val="15"/>
    <w:link w:val="28"/>
    <w:autoRedefine/>
    <w:qFormat/>
    <w:uiPriority w:val="0"/>
    <w:rPr>
      <w:b/>
      <w:sz w:val="24"/>
      <w:szCs w:val="24"/>
    </w:rPr>
  </w:style>
  <w:style w:type="paragraph" w:customStyle="1" w:styleId="30">
    <w:name w:val="表格"/>
    <w:basedOn w:val="1"/>
    <w:link w:val="31"/>
    <w:autoRedefine/>
    <w:qFormat/>
    <w:uiPriority w:val="0"/>
    <w:pPr>
      <w:jc w:val="center"/>
    </w:pPr>
    <w:rPr>
      <w:rFonts w:ascii="微软雅黑" w:hAnsi="微软雅黑" w:eastAsia="微软雅黑"/>
      <w:color w:val="000000"/>
      <w:sz w:val="18"/>
      <w:szCs w:val="18"/>
    </w:rPr>
  </w:style>
  <w:style w:type="character" w:customStyle="1" w:styleId="31">
    <w:name w:val="表格 Char"/>
    <w:basedOn w:val="15"/>
    <w:link w:val="30"/>
    <w:autoRedefine/>
    <w:qFormat/>
    <w:uiPriority w:val="0"/>
    <w:rPr>
      <w:rFonts w:ascii="微软雅黑" w:hAnsi="微软雅黑" w:eastAsia="微软雅黑"/>
      <w:color w:val="000000"/>
      <w:sz w:val="18"/>
      <w:szCs w:val="18"/>
    </w:rPr>
  </w:style>
  <w:style w:type="paragraph" w:styleId="32">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3">
    <w:name w:val="article-p"/>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34">
    <w:name w:val="a_source"/>
    <w:basedOn w:val="15"/>
    <w:autoRedefine/>
    <w:qFormat/>
    <w:uiPriority w:val="0"/>
  </w:style>
  <w:style w:type="character" w:customStyle="1" w:styleId="35">
    <w:name w:val="标题 2 字符"/>
    <w:basedOn w:val="15"/>
    <w:link w:val="3"/>
    <w:autoRedefine/>
    <w:qFormat/>
    <w:uiPriority w:val="9"/>
    <w:rPr>
      <w:rFonts w:asciiTheme="majorHAnsi" w:hAnsiTheme="majorHAnsi" w:eastAsiaTheme="majorEastAsia" w:cstheme="majorBidi"/>
      <w:b/>
      <w:bCs/>
      <w:sz w:val="32"/>
      <w:szCs w:val="32"/>
    </w:rPr>
  </w:style>
  <w:style w:type="character" w:customStyle="1" w:styleId="36">
    <w:name w:val="标题 1 字符"/>
    <w:basedOn w:val="15"/>
    <w:link w:val="2"/>
    <w:autoRedefine/>
    <w:qFormat/>
    <w:uiPriority w:val="9"/>
    <w:rPr>
      <w:b/>
      <w:bCs/>
      <w:kern w:val="44"/>
      <w:sz w:val="44"/>
      <w:szCs w:val="44"/>
    </w:rPr>
  </w:style>
  <w:style w:type="character" w:customStyle="1" w:styleId="37">
    <w:name w:val="批注文字 字符"/>
    <w:basedOn w:val="15"/>
    <w:link w:val="6"/>
    <w:autoRedefine/>
    <w:semiHidden/>
    <w:qFormat/>
    <w:uiPriority w:val="99"/>
  </w:style>
  <w:style w:type="character" w:customStyle="1" w:styleId="38">
    <w:name w:val="批注主题 字符"/>
    <w:basedOn w:val="37"/>
    <w:link w:val="11"/>
    <w:autoRedefine/>
    <w:semiHidden/>
    <w:qFormat/>
    <w:uiPriority w:val="99"/>
    <w:rPr>
      <w:b/>
      <w:bCs/>
    </w:rPr>
  </w:style>
  <w:style w:type="character" w:customStyle="1" w:styleId="39">
    <w:name w:val="标题 3 字符"/>
    <w:basedOn w:val="15"/>
    <w:link w:val="4"/>
    <w:autoRedefine/>
    <w:semiHidden/>
    <w:qFormat/>
    <w:uiPriority w:val="9"/>
    <w:rPr>
      <w:b/>
      <w:bCs/>
      <w:sz w:val="32"/>
      <w:szCs w:val="32"/>
    </w:rPr>
  </w:style>
  <w:style w:type="character" w:customStyle="1" w:styleId="40">
    <w:name w:val="bjh-p"/>
    <w:basedOn w:val="15"/>
    <w:autoRedefine/>
    <w:qFormat/>
    <w:uiPriority w:val="0"/>
  </w:style>
  <w:style w:type="character" w:customStyle="1" w:styleId="41">
    <w:name w:val="标题 4 字符"/>
    <w:basedOn w:val="15"/>
    <w:link w:val="5"/>
    <w:autoRedefine/>
    <w:qFormat/>
    <w:uiPriority w:val="9"/>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86185\Desktop\&#30719;&#20132;&#25152;\&#29028;&#28845;&#21608;&#25253;\&#29028;&#28845;&#34892;&#19994;&#21608;&#25253;&#20449;&#24687;&#25910;&#38598;&#34920;2309.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86185\Desktop\&#30719;&#20132;&#25152;\&#29028;&#28845;&#21608;&#25253;\&#29028;&#28845;&#34892;&#19994;&#21608;&#25253;&#20449;&#24687;&#25910;&#38598;&#34920;2309.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zh-CN" sz="1100" b="1">
                <a:solidFill>
                  <a:sysClr val="windowText" lastClr="000000"/>
                </a:solidFill>
              </a:rPr>
              <a:t>环渤海动力煤综合价格指数</a:t>
            </a:r>
            <a:endParaRPr lang="zh-CN" sz="1100" b="1">
              <a:solidFill>
                <a:sysClr val="windowText" lastClr="000000"/>
              </a:solidFill>
            </a:endParaRPr>
          </a:p>
        </c:rich>
      </c:tx>
      <c:layout/>
      <c:overlay val="0"/>
      <c:spPr>
        <a:noFill/>
        <a:ln>
          <a:noFill/>
        </a:ln>
        <a:effectLst/>
      </c:spPr>
    </c:title>
    <c:autoTitleDeleted val="0"/>
    <c:plotArea>
      <c:layout/>
      <c:lineChart>
        <c:grouping val="standard"/>
        <c:varyColors val="0"/>
        <c:ser>
          <c:idx val="0"/>
          <c:order val="0"/>
          <c:spPr>
            <a:ln w="28575" cap="rnd">
              <a:solidFill>
                <a:schemeClr val="accent1"/>
              </a:solidFill>
              <a:round/>
            </a:ln>
            <a:effectLst/>
          </c:spPr>
          <c:marker>
            <c:symbol val="circle"/>
            <c:size val="5"/>
            <c:spPr>
              <a:solidFill>
                <a:schemeClr val="accent1"/>
              </a:solidFill>
              <a:ln w="9525">
                <a:solidFill>
                  <a:schemeClr val="accent1"/>
                </a:solidFill>
              </a:ln>
              <a:effectLst/>
            </c:spPr>
          </c:marker>
          <c:dLbls>
            <c:delete val="1"/>
          </c:dLbls>
          <c:trendline>
            <c:spPr>
              <a:ln w="19050" cap="rnd">
                <a:solidFill>
                  <a:schemeClr val="accent1"/>
                </a:solidFill>
                <a:prstDash val="sysDot"/>
              </a:ln>
              <a:effectLst/>
            </c:spPr>
            <c:trendlineType val="exp"/>
            <c:dispRSqr val="0"/>
            <c:dispEq val="0"/>
          </c:trendline>
          <c:cat>
            <c:numRef>
              <c:f>[煤炭行业周报信息收集表2309.xlsx]环渤海动力煤价格指数1!$B$547:$B$583</c:f>
              <c:numCache>
                <c:formatCode>yyyy/m/d</c:formatCode>
                <c:ptCount val="37"/>
                <c:pt idx="0" c:formatCode="yyyy/m/d">
                  <c:v>45694</c:v>
                </c:pt>
                <c:pt idx="1" c:formatCode="yyyy/m/d">
                  <c:v>45700</c:v>
                </c:pt>
                <c:pt idx="2" c:formatCode="yyyy/m/d">
                  <c:v>45707</c:v>
                </c:pt>
                <c:pt idx="3" c:formatCode="yyyy/m/d">
                  <c:v>45714</c:v>
                </c:pt>
                <c:pt idx="4" c:formatCode="yyyy/m/d">
                  <c:v>45721</c:v>
                </c:pt>
                <c:pt idx="5" c:formatCode="yyyy/m/d">
                  <c:v>45728</c:v>
                </c:pt>
                <c:pt idx="6" c:formatCode="yyyy/m/d">
                  <c:v>45735</c:v>
                </c:pt>
                <c:pt idx="7" c:formatCode="yyyy/m/d">
                  <c:v>45742</c:v>
                </c:pt>
                <c:pt idx="8" c:formatCode="yyyy/m/d">
                  <c:v>45749</c:v>
                </c:pt>
                <c:pt idx="9" c:formatCode="yyyy/m/d">
                  <c:v>45756</c:v>
                </c:pt>
                <c:pt idx="10" c:formatCode="yyyy/m/d">
                  <c:v>45763</c:v>
                </c:pt>
                <c:pt idx="11" c:formatCode="yyyy/m/d">
                  <c:v>45770</c:v>
                </c:pt>
                <c:pt idx="12" c:formatCode="yyyy/m/d">
                  <c:v>45777</c:v>
                </c:pt>
                <c:pt idx="13" c:formatCode="yyyy/m/d">
                  <c:v>45784</c:v>
                </c:pt>
                <c:pt idx="14" c:formatCode="yyyy/m/d">
                  <c:v>45791</c:v>
                </c:pt>
                <c:pt idx="15" c:formatCode="yyyy/m/d">
                  <c:v>45798</c:v>
                </c:pt>
                <c:pt idx="16" c:formatCode="yyyy/m/d">
                  <c:v>45805</c:v>
                </c:pt>
                <c:pt idx="17" c:formatCode="yyyy/m/d">
                  <c:v>45812</c:v>
                </c:pt>
                <c:pt idx="18" c:formatCode="yyyy/m/d">
                  <c:v>45819</c:v>
                </c:pt>
                <c:pt idx="19" c:formatCode="yyyy/m/d">
                  <c:v>45826</c:v>
                </c:pt>
                <c:pt idx="20" c:formatCode="yyyy/m/d">
                  <c:v>45833</c:v>
                </c:pt>
                <c:pt idx="21" c:formatCode="yyyy/m/d">
                  <c:v>45840</c:v>
                </c:pt>
                <c:pt idx="22" c:formatCode="yyyy/m/d">
                  <c:v>45847</c:v>
                </c:pt>
                <c:pt idx="23" c:formatCode="yyyy/m/d">
                  <c:v>45854</c:v>
                </c:pt>
                <c:pt idx="24" c:formatCode="yyyy/m/d">
                  <c:v>45861</c:v>
                </c:pt>
                <c:pt idx="25" c:formatCode="yyyy/m/d">
                  <c:v>45868</c:v>
                </c:pt>
                <c:pt idx="26" c:formatCode="yyyy/m/d">
                  <c:v>45875</c:v>
                </c:pt>
                <c:pt idx="27" c:formatCode="yyyy/m/d">
                  <c:v>45882</c:v>
                </c:pt>
                <c:pt idx="28" c:formatCode="yyyy/m/d">
                  <c:v>45889</c:v>
                </c:pt>
                <c:pt idx="29" c:formatCode="yyyy/m/d">
                  <c:v>45896</c:v>
                </c:pt>
                <c:pt idx="30" c:formatCode="yyyy/m/d">
                  <c:v>45903</c:v>
                </c:pt>
                <c:pt idx="31" c:formatCode="yyyy/m/d">
                  <c:v>45910</c:v>
                </c:pt>
                <c:pt idx="32" c:formatCode="yyyy/m/d">
                  <c:v>45917</c:v>
                </c:pt>
                <c:pt idx="33" c:formatCode="yyyy/m/d">
                  <c:v>45924</c:v>
                </c:pt>
                <c:pt idx="34" c:formatCode="yyyy/m/d">
                  <c:v>45945</c:v>
                </c:pt>
                <c:pt idx="35" c:formatCode="yyyy/m/d">
                  <c:v>45952</c:v>
                </c:pt>
                <c:pt idx="36" c:formatCode="yyyy/m/d">
                  <c:v>45959</c:v>
                </c:pt>
              </c:numCache>
            </c:numRef>
          </c:cat>
          <c:val>
            <c:numRef>
              <c:f>[煤炭行业周报信息收集表2309.xlsx]环渤海动力煤价格指数1!$C$547:$C$583</c:f>
              <c:numCache>
                <c:formatCode>General</c:formatCode>
                <c:ptCount val="37"/>
                <c:pt idx="0">
                  <c:v>698</c:v>
                </c:pt>
                <c:pt idx="1">
                  <c:v>698</c:v>
                </c:pt>
                <c:pt idx="2">
                  <c:v>696</c:v>
                </c:pt>
                <c:pt idx="3">
                  <c:v>694</c:v>
                </c:pt>
                <c:pt idx="4">
                  <c:v>687</c:v>
                </c:pt>
                <c:pt idx="5">
                  <c:v>687</c:v>
                </c:pt>
                <c:pt idx="6">
                  <c:v>686</c:v>
                </c:pt>
                <c:pt idx="7">
                  <c:v>685</c:v>
                </c:pt>
                <c:pt idx="8">
                  <c:v>685</c:v>
                </c:pt>
                <c:pt idx="9">
                  <c:v>678</c:v>
                </c:pt>
                <c:pt idx="10">
                  <c:v>678</c:v>
                </c:pt>
                <c:pt idx="11">
                  <c:v>678</c:v>
                </c:pt>
                <c:pt idx="12">
                  <c:v>677</c:v>
                </c:pt>
                <c:pt idx="13">
                  <c:v>673</c:v>
                </c:pt>
                <c:pt idx="14">
                  <c:v>671</c:v>
                </c:pt>
                <c:pt idx="15">
                  <c:v>669</c:v>
                </c:pt>
                <c:pt idx="16">
                  <c:v>669</c:v>
                </c:pt>
                <c:pt idx="17">
                  <c:v>669</c:v>
                </c:pt>
                <c:pt idx="18">
                  <c:v>663</c:v>
                </c:pt>
                <c:pt idx="19">
                  <c:v>663</c:v>
                </c:pt>
                <c:pt idx="20">
                  <c:v>663</c:v>
                </c:pt>
                <c:pt idx="21">
                  <c:v>664</c:v>
                </c:pt>
                <c:pt idx="22">
                  <c:v>662</c:v>
                </c:pt>
                <c:pt idx="23">
                  <c:v>663</c:v>
                </c:pt>
                <c:pt idx="24">
                  <c:v>664</c:v>
                </c:pt>
                <c:pt idx="25">
                  <c:v>665</c:v>
                </c:pt>
                <c:pt idx="26">
                  <c:v>668</c:v>
                </c:pt>
                <c:pt idx="27">
                  <c:v>670</c:v>
                </c:pt>
                <c:pt idx="28">
                  <c:v>671</c:v>
                </c:pt>
                <c:pt idx="29">
                  <c:v>671</c:v>
                </c:pt>
                <c:pt idx="30">
                  <c:v>676</c:v>
                </c:pt>
                <c:pt idx="31">
                  <c:v>675</c:v>
                </c:pt>
                <c:pt idx="32">
                  <c:v>676</c:v>
                </c:pt>
                <c:pt idx="33">
                  <c:v>677</c:v>
                </c:pt>
                <c:pt idx="34">
                  <c:v>680</c:v>
                </c:pt>
                <c:pt idx="35">
                  <c:v>684</c:v>
                </c:pt>
                <c:pt idx="36">
                  <c:v>685</c:v>
                </c:pt>
              </c:numCache>
            </c:numRef>
          </c:val>
          <c:smooth val="0"/>
        </c:ser>
        <c:dLbls>
          <c:showLegendKey val="0"/>
          <c:showVal val="0"/>
          <c:showCatName val="0"/>
          <c:showSerName val="0"/>
          <c:showPercent val="0"/>
          <c:showBubbleSize val="0"/>
        </c:dLbls>
        <c:upDownBars>
          <c:gapWidth val="219"/>
          <c:upBars>
            <c:spPr>
              <a:solidFill>
                <a:schemeClr val="lt1"/>
              </a:solidFill>
              <a:ln w="9525">
                <a:solidFill>
                  <a:schemeClr val="tx1">
                    <a:lumMod val="15000"/>
                    <a:lumOff val="85000"/>
                  </a:schemeClr>
                </a:solidFill>
              </a:ln>
              <a:effectLst/>
            </c:spPr>
          </c:upBars>
          <c:downBars>
            <c:spPr>
              <a:solidFill>
                <a:schemeClr val="dk1">
                  <a:lumMod val="65000"/>
                  <a:lumOff val="35000"/>
                </a:schemeClr>
              </a:solidFill>
              <a:ln w="9525">
                <a:solidFill>
                  <a:schemeClr val="tx1">
                    <a:lumMod val="65000"/>
                    <a:lumOff val="35000"/>
                  </a:schemeClr>
                </a:solidFill>
              </a:ln>
              <a:effectLst/>
            </c:spPr>
          </c:downBars>
        </c:upDownBars>
        <c:marker val="1"/>
        <c:smooth val="0"/>
        <c:axId val="133144960"/>
        <c:axId val="133146496"/>
      </c:lineChart>
      <c:dateAx>
        <c:axId val="133144960"/>
        <c:scaling>
          <c:orientation val="minMax"/>
        </c:scaling>
        <c:delete val="0"/>
        <c:axPos val="b"/>
        <c:numFmt formatCode="m/d;@"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3146496"/>
        <c:crosses val="autoZero"/>
        <c:auto val="0"/>
        <c:lblOffset val="100"/>
        <c:baseTimeUnit val="days"/>
      </c:dateAx>
      <c:valAx>
        <c:axId val="133146496"/>
        <c:scaling>
          <c:orientation val="minMax"/>
          <c:max val="710"/>
          <c:min val="660"/>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3144960"/>
        <c:crosses val="autoZero"/>
        <c:crossBetween val="between"/>
        <c:majorUnit val="5"/>
        <c:minorUnit val="1"/>
      </c:valAx>
      <c:spPr>
        <a:noFill/>
        <a:ln>
          <a:noFill/>
        </a:ln>
        <a:effectLst/>
      </c:spPr>
    </c:plotArea>
    <c:plotVisOnly val="1"/>
    <c:dispBlanksAs val="gap"/>
    <c:showDLblsOverMax val="0"/>
    <c:extLst>
      <c:ext uri="{0b15fc19-7d7d-44ad-8c2d-2c3a37ce22c3}">
        <chartProps xmlns="https://web.wps.cn/et/2018/main" chartId="{a07584f3-6ff9-4829-8c81-5132c6142c3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b="1">
                <a:solidFill>
                  <a:sysClr val="windowText" lastClr="000000"/>
                </a:solidFill>
              </a:rPr>
              <a:t>NEWC</a:t>
            </a:r>
            <a:r>
              <a:rPr lang="zh-CN" b="1">
                <a:solidFill>
                  <a:sysClr val="windowText" lastClr="000000"/>
                </a:solidFill>
              </a:rPr>
              <a:t>、欧洲</a:t>
            </a:r>
            <a:r>
              <a:rPr lang="en-US" b="1">
                <a:solidFill>
                  <a:sysClr val="windowText" lastClr="000000"/>
                </a:solidFill>
              </a:rPr>
              <a:t>ARA</a:t>
            </a:r>
            <a:r>
              <a:rPr lang="zh-CN" b="1">
                <a:solidFill>
                  <a:sysClr val="windowText" lastClr="000000"/>
                </a:solidFill>
              </a:rPr>
              <a:t>三港、南非</a:t>
            </a:r>
            <a:r>
              <a:rPr lang="en-US" b="1">
                <a:solidFill>
                  <a:sysClr val="windowText" lastClr="000000"/>
                </a:solidFill>
              </a:rPr>
              <a:t>RB</a:t>
            </a:r>
            <a:r>
              <a:rPr lang="zh-CN" b="1">
                <a:solidFill>
                  <a:sysClr val="windowText" lastClr="000000"/>
                </a:solidFill>
              </a:rPr>
              <a:t>煤价</a:t>
            </a:r>
            <a:endParaRPr lang="zh-CN" b="1">
              <a:solidFill>
                <a:sysClr val="windowText" lastClr="000000"/>
              </a:solidFill>
            </a:endParaRPr>
          </a:p>
        </c:rich>
      </c:tx>
      <c:layout>
        <c:manualLayout>
          <c:xMode val="edge"/>
          <c:yMode val="edge"/>
          <c:x val="0.184836693014239"/>
          <c:y val="0.0483870558064044"/>
        </c:manualLayout>
      </c:layout>
      <c:overlay val="0"/>
      <c:spPr>
        <a:noFill/>
        <a:ln>
          <a:noFill/>
        </a:ln>
        <a:effectLst/>
      </c:spPr>
    </c:title>
    <c:autoTitleDeleted val="0"/>
    <c:plotArea>
      <c:layout>
        <c:manualLayout>
          <c:layoutTarget val="inner"/>
          <c:xMode val="edge"/>
          <c:yMode val="edge"/>
          <c:x val="0.0966121579256912"/>
          <c:y val="0.167741793462202"/>
          <c:w val="0.861557802547803"/>
          <c:h val="0.546917664111706"/>
        </c:manualLayout>
      </c:layout>
      <c:lineChart>
        <c:grouping val="standard"/>
        <c:varyColors val="0"/>
        <c:ser>
          <c:idx val="0"/>
          <c:order val="0"/>
          <c:tx>
            <c:strRef>
              <c:f>[煤炭行业周报信息收集表2309.xlsx]国际煤价走势图!$B$1</c:f>
              <c:strCache>
                <c:ptCount val="1"/>
                <c:pt idx="0">
                  <c:v>纽卡斯尔港</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delete val="1"/>
          </c:dLbls>
          <c:cat>
            <c:numRef>
              <c:f>[煤炭行业周报信息收集表2309.xlsx]国际煤价走势图!$A$497:$A$522</c:f>
              <c:numCache>
                <c:formatCode>yyyy/m/d</c:formatCode>
                <c:ptCount val="26"/>
                <c:pt idx="0" c:formatCode="yyyy/m/d">
                  <c:v>45766</c:v>
                </c:pt>
                <c:pt idx="1" c:formatCode="yyyy/m/d">
                  <c:v>45773</c:v>
                </c:pt>
                <c:pt idx="2" c:formatCode="yyyy/m/d">
                  <c:v>45781</c:v>
                </c:pt>
                <c:pt idx="3" c:formatCode="yyyy/m/d">
                  <c:v>45787</c:v>
                </c:pt>
                <c:pt idx="4" c:formatCode="yyyy/m/d">
                  <c:v>45793</c:v>
                </c:pt>
                <c:pt idx="5" c:formatCode="yyyy/m/d">
                  <c:v>45801</c:v>
                </c:pt>
                <c:pt idx="6" c:formatCode="yyyy/m/d">
                  <c:v>45809</c:v>
                </c:pt>
                <c:pt idx="7" c:formatCode="yyyy/m/d">
                  <c:v>45815</c:v>
                </c:pt>
                <c:pt idx="8" c:formatCode="yyyy/m/d">
                  <c:v>45822</c:v>
                </c:pt>
                <c:pt idx="9" c:formatCode="yyyy/m/d">
                  <c:v>45830</c:v>
                </c:pt>
                <c:pt idx="10" c:formatCode="yyyy/m/d">
                  <c:v>45836</c:v>
                </c:pt>
                <c:pt idx="11" c:formatCode="yyyy/m/d">
                  <c:v>45843</c:v>
                </c:pt>
                <c:pt idx="12" c:formatCode="yyyy/m/d">
                  <c:v>45850</c:v>
                </c:pt>
                <c:pt idx="13" c:formatCode="yyyy/m/d">
                  <c:v>45857</c:v>
                </c:pt>
                <c:pt idx="14" c:formatCode="yyyy/m/d">
                  <c:v>45864</c:v>
                </c:pt>
                <c:pt idx="15" c:formatCode="yyyy/m/d">
                  <c:v>45871</c:v>
                </c:pt>
                <c:pt idx="16" c:formatCode="yyyy/m/d">
                  <c:v>45878</c:v>
                </c:pt>
                <c:pt idx="17" c:formatCode="yyyy/m/d">
                  <c:v>45885</c:v>
                </c:pt>
                <c:pt idx="18" c:formatCode="yyyy/m/d">
                  <c:v>45892</c:v>
                </c:pt>
                <c:pt idx="19" c:formatCode="yyyy/m/d">
                  <c:v>45899</c:v>
                </c:pt>
                <c:pt idx="20" c:formatCode="yyyy/m/d">
                  <c:v>45906</c:v>
                </c:pt>
                <c:pt idx="21" c:formatCode="yyyy/m/d">
                  <c:v>45913</c:v>
                </c:pt>
                <c:pt idx="22" c:formatCode="yyyy/m/d">
                  <c:v>45919</c:v>
                </c:pt>
                <c:pt idx="23" c:formatCode="yyyy/m/d">
                  <c:v>45941</c:v>
                </c:pt>
                <c:pt idx="24" c:formatCode="yyyy/m/d">
                  <c:v>45948</c:v>
                </c:pt>
                <c:pt idx="25" c:formatCode="yyyy/m/d">
                  <c:v>45955</c:v>
                </c:pt>
              </c:numCache>
            </c:numRef>
          </c:cat>
          <c:val>
            <c:numRef>
              <c:f>[煤炭行业周报信息收集表2309.xlsx]国际煤价走势图!$B$496:$B$522</c:f>
              <c:numCache>
                <c:formatCode>General</c:formatCode>
                <c:ptCount val="27"/>
                <c:pt idx="0">
                  <c:v>70.8</c:v>
                </c:pt>
                <c:pt idx="1">
                  <c:v>71.1</c:v>
                </c:pt>
                <c:pt idx="2">
                  <c:v>70.6</c:v>
                </c:pt>
                <c:pt idx="3">
                  <c:v>70.6</c:v>
                </c:pt>
                <c:pt idx="4">
                  <c:v>69.8</c:v>
                </c:pt>
                <c:pt idx="5">
                  <c:v>69.3</c:v>
                </c:pt>
                <c:pt idx="6">
                  <c:v>68</c:v>
                </c:pt>
                <c:pt idx="7">
                  <c:v>67.2</c:v>
                </c:pt>
                <c:pt idx="8">
                  <c:v>66.8</c:v>
                </c:pt>
                <c:pt idx="9">
                  <c:v>66</c:v>
                </c:pt>
                <c:pt idx="10">
                  <c:v>66</c:v>
                </c:pt>
                <c:pt idx="11">
                  <c:v>65.3</c:v>
                </c:pt>
                <c:pt idx="12">
                  <c:v>64.8</c:v>
                </c:pt>
                <c:pt idx="13">
                  <c:v>65.4</c:v>
                </c:pt>
                <c:pt idx="14">
                  <c:v>66.5</c:v>
                </c:pt>
                <c:pt idx="15">
                  <c:v>66.5</c:v>
                </c:pt>
                <c:pt idx="16">
                  <c:v>67</c:v>
                </c:pt>
                <c:pt idx="17">
                  <c:v>67.7</c:v>
                </c:pt>
                <c:pt idx="18">
                  <c:v>69.5</c:v>
                </c:pt>
                <c:pt idx="19">
                  <c:v>71</c:v>
                </c:pt>
                <c:pt idx="20">
                  <c:v>71.5</c:v>
                </c:pt>
                <c:pt idx="21">
                  <c:v>71</c:v>
                </c:pt>
                <c:pt idx="22">
                  <c:v>69.5</c:v>
                </c:pt>
                <c:pt idx="23">
                  <c:v>69.6</c:v>
                </c:pt>
                <c:pt idx="24">
                  <c:v>71.2</c:v>
                </c:pt>
                <c:pt idx="25">
                  <c:v>72.8</c:v>
                </c:pt>
                <c:pt idx="26">
                  <c:v>74.1</c:v>
                </c:pt>
              </c:numCache>
            </c:numRef>
          </c:val>
          <c:smooth val="0"/>
        </c:ser>
        <c:ser>
          <c:idx val="1"/>
          <c:order val="1"/>
          <c:tx>
            <c:strRef>
              <c:f>[煤炭行业周报信息收集表2309.xlsx]国际煤价走势图!$D$1</c:f>
              <c:strCache>
                <c:ptCount val="1"/>
                <c:pt idx="0">
                  <c:v>欧洲ARA三港</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delete val="1"/>
          </c:dLbls>
          <c:cat>
            <c:numRef>
              <c:f>[煤炭行业周报信息收集表2309.xlsx]国际煤价走势图!$A$497:$A$522</c:f>
              <c:numCache>
                <c:formatCode>yyyy/m/d</c:formatCode>
                <c:ptCount val="26"/>
                <c:pt idx="0" c:formatCode="yyyy/m/d">
                  <c:v>45766</c:v>
                </c:pt>
                <c:pt idx="1" c:formatCode="yyyy/m/d">
                  <c:v>45773</c:v>
                </c:pt>
                <c:pt idx="2" c:formatCode="yyyy/m/d">
                  <c:v>45781</c:v>
                </c:pt>
                <c:pt idx="3" c:formatCode="yyyy/m/d">
                  <c:v>45787</c:v>
                </c:pt>
                <c:pt idx="4" c:formatCode="yyyy/m/d">
                  <c:v>45793</c:v>
                </c:pt>
                <c:pt idx="5" c:formatCode="yyyy/m/d">
                  <c:v>45801</c:v>
                </c:pt>
                <c:pt idx="6" c:formatCode="yyyy/m/d">
                  <c:v>45809</c:v>
                </c:pt>
                <c:pt idx="7" c:formatCode="yyyy/m/d">
                  <c:v>45815</c:v>
                </c:pt>
                <c:pt idx="8" c:formatCode="yyyy/m/d">
                  <c:v>45822</c:v>
                </c:pt>
                <c:pt idx="9" c:formatCode="yyyy/m/d">
                  <c:v>45830</c:v>
                </c:pt>
                <c:pt idx="10" c:formatCode="yyyy/m/d">
                  <c:v>45836</c:v>
                </c:pt>
                <c:pt idx="11" c:formatCode="yyyy/m/d">
                  <c:v>45843</c:v>
                </c:pt>
                <c:pt idx="12" c:formatCode="yyyy/m/d">
                  <c:v>45850</c:v>
                </c:pt>
                <c:pt idx="13" c:formatCode="yyyy/m/d">
                  <c:v>45857</c:v>
                </c:pt>
                <c:pt idx="14" c:formatCode="yyyy/m/d">
                  <c:v>45864</c:v>
                </c:pt>
                <c:pt idx="15" c:formatCode="yyyy/m/d">
                  <c:v>45871</c:v>
                </c:pt>
                <c:pt idx="16" c:formatCode="yyyy/m/d">
                  <c:v>45878</c:v>
                </c:pt>
                <c:pt idx="17" c:formatCode="yyyy/m/d">
                  <c:v>45885</c:v>
                </c:pt>
                <c:pt idx="18" c:formatCode="yyyy/m/d">
                  <c:v>45892</c:v>
                </c:pt>
                <c:pt idx="19" c:formatCode="yyyy/m/d">
                  <c:v>45899</c:v>
                </c:pt>
                <c:pt idx="20" c:formatCode="yyyy/m/d">
                  <c:v>45906</c:v>
                </c:pt>
                <c:pt idx="21" c:formatCode="yyyy/m/d">
                  <c:v>45913</c:v>
                </c:pt>
                <c:pt idx="22" c:formatCode="yyyy/m/d">
                  <c:v>45919</c:v>
                </c:pt>
                <c:pt idx="23" c:formatCode="yyyy/m/d">
                  <c:v>45941</c:v>
                </c:pt>
                <c:pt idx="24" c:formatCode="yyyy/m/d">
                  <c:v>45948</c:v>
                </c:pt>
                <c:pt idx="25" c:formatCode="yyyy/m/d">
                  <c:v>45955</c:v>
                </c:pt>
              </c:numCache>
            </c:numRef>
          </c:cat>
          <c:val>
            <c:numRef>
              <c:f>[煤炭行业周报信息收集表2309.xlsx]国际煤价走势图!$D$496:$D$522</c:f>
              <c:numCache>
                <c:formatCode>General</c:formatCode>
                <c:ptCount val="27"/>
                <c:pt idx="0">
                  <c:v>103.6</c:v>
                </c:pt>
                <c:pt idx="1">
                  <c:v>104.6</c:v>
                </c:pt>
                <c:pt idx="2">
                  <c:v>97</c:v>
                </c:pt>
                <c:pt idx="3">
                  <c:v>97</c:v>
                </c:pt>
                <c:pt idx="4">
                  <c:v>96</c:v>
                </c:pt>
                <c:pt idx="5">
                  <c:v>91.3</c:v>
                </c:pt>
                <c:pt idx="6">
                  <c:v>94.6</c:v>
                </c:pt>
                <c:pt idx="7">
                  <c:v>91.6</c:v>
                </c:pt>
                <c:pt idx="8">
                  <c:v>100.8</c:v>
                </c:pt>
                <c:pt idx="9">
                  <c:v>104.5</c:v>
                </c:pt>
                <c:pt idx="10">
                  <c:v>106.5</c:v>
                </c:pt>
                <c:pt idx="11">
                  <c:v>103.7</c:v>
                </c:pt>
                <c:pt idx="12">
                  <c:v>109.3</c:v>
                </c:pt>
                <c:pt idx="13">
                  <c:v>109.5</c:v>
                </c:pt>
                <c:pt idx="14">
                  <c:v>98.1</c:v>
                </c:pt>
                <c:pt idx="15">
                  <c:v>96.1</c:v>
                </c:pt>
                <c:pt idx="16">
                  <c:v>97.1</c:v>
                </c:pt>
                <c:pt idx="17">
                  <c:v>96.3</c:v>
                </c:pt>
                <c:pt idx="18">
                  <c:v>96.6</c:v>
                </c:pt>
                <c:pt idx="19">
                  <c:v>100.7</c:v>
                </c:pt>
                <c:pt idx="20">
                  <c:v>90.1</c:v>
                </c:pt>
                <c:pt idx="21">
                  <c:v>88.8</c:v>
                </c:pt>
                <c:pt idx="22">
                  <c:v>88.8</c:v>
                </c:pt>
                <c:pt idx="23">
                  <c:v>91.6</c:v>
                </c:pt>
                <c:pt idx="24">
                  <c:v>89.5</c:v>
                </c:pt>
                <c:pt idx="25">
                  <c:v>96.6</c:v>
                </c:pt>
                <c:pt idx="26">
                  <c:v>95.1</c:v>
                </c:pt>
              </c:numCache>
            </c:numRef>
          </c:val>
          <c:smooth val="0"/>
        </c:ser>
        <c:ser>
          <c:idx val="2"/>
          <c:order val="2"/>
          <c:tx>
            <c:strRef>
              <c:f>[煤炭行业周报信息收集表2309.xlsx]国际煤价走势图!$F$1</c:f>
              <c:strCache>
                <c:ptCount val="1"/>
                <c:pt idx="0">
                  <c:v>南非RB</c:v>
                </c:pt>
              </c:strCache>
            </c:strRef>
          </c:tx>
          <c:spPr>
            <a:ln w="28575" cap="rnd">
              <a:solidFill>
                <a:schemeClr val="accent3"/>
              </a:solidFill>
              <a:round/>
            </a:ln>
            <a:effectLst/>
          </c:spPr>
          <c:marker>
            <c:symbol val="circle"/>
            <c:size val="5"/>
            <c:spPr>
              <a:solidFill>
                <a:schemeClr val="accent3"/>
              </a:solidFill>
              <a:ln w="9525">
                <a:solidFill>
                  <a:schemeClr val="accent3"/>
                </a:solidFill>
              </a:ln>
              <a:effectLst/>
            </c:spPr>
          </c:marker>
          <c:dLbls>
            <c:delete val="1"/>
          </c:dLbls>
          <c:cat>
            <c:numRef>
              <c:f>[煤炭行业周报信息收集表2309.xlsx]国际煤价走势图!$A$497:$A$522</c:f>
              <c:numCache>
                <c:formatCode>yyyy/m/d</c:formatCode>
                <c:ptCount val="26"/>
                <c:pt idx="0" c:formatCode="yyyy/m/d">
                  <c:v>45766</c:v>
                </c:pt>
                <c:pt idx="1" c:formatCode="yyyy/m/d">
                  <c:v>45773</c:v>
                </c:pt>
                <c:pt idx="2" c:formatCode="yyyy/m/d">
                  <c:v>45781</c:v>
                </c:pt>
                <c:pt idx="3" c:formatCode="yyyy/m/d">
                  <c:v>45787</c:v>
                </c:pt>
                <c:pt idx="4" c:formatCode="yyyy/m/d">
                  <c:v>45793</c:v>
                </c:pt>
                <c:pt idx="5" c:formatCode="yyyy/m/d">
                  <c:v>45801</c:v>
                </c:pt>
                <c:pt idx="6" c:formatCode="yyyy/m/d">
                  <c:v>45809</c:v>
                </c:pt>
                <c:pt idx="7" c:formatCode="yyyy/m/d">
                  <c:v>45815</c:v>
                </c:pt>
                <c:pt idx="8" c:formatCode="yyyy/m/d">
                  <c:v>45822</c:v>
                </c:pt>
                <c:pt idx="9" c:formatCode="yyyy/m/d">
                  <c:v>45830</c:v>
                </c:pt>
                <c:pt idx="10" c:formatCode="yyyy/m/d">
                  <c:v>45836</c:v>
                </c:pt>
                <c:pt idx="11" c:formatCode="yyyy/m/d">
                  <c:v>45843</c:v>
                </c:pt>
                <c:pt idx="12" c:formatCode="yyyy/m/d">
                  <c:v>45850</c:v>
                </c:pt>
                <c:pt idx="13" c:formatCode="yyyy/m/d">
                  <c:v>45857</c:v>
                </c:pt>
                <c:pt idx="14" c:formatCode="yyyy/m/d">
                  <c:v>45864</c:v>
                </c:pt>
                <c:pt idx="15" c:formatCode="yyyy/m/d">
                  <c:v>45871</c:v>
                </c:pt>
                <c:pt idx="16" c:formatCode="yyyy/m/d">
                  <c:v>45878</c:v>
                </c:pt>
                <c:pt idx="17" c:formatCode="yyyy/m/d">
                  <c:v>45885</c:v>
                </c:pt>
                <c:pt idx="18" c:formatCode="yyyy/m/d">
                  <c:v>45892</c:v>
                </c:pt>
                <c:pt idx="19" c:formatCode="yyyy/m/d">
                  <c:v>45899</c:v>
                </c:pt>
                <c:pt idx="20" c:formatCode="yyyy/m/d">
                  <c:v>45906</c:v>
                </c:pt>
                <c:pt idx="21" c:formatCode="yyyy/m/d">
                  <c:v>45913</c:v>
                </c:pt>
                <c:pt idx="22" c:formatCode="yyyy/m/d">
                  <c:v>45919</c:v>
                </c:pt>
                <c:pt idx="23" c:formatCode="yyyy/m/d">
                  <c:v>45941</c:v>
                </c:pt>
                <c:pt idx="24" c:formatCode="yyyy/m/d">
                  <c:v>45948</c:v>
                </c:pt>
                <c:pt idx="25" c:formatCode="yyyy/m/d">
                  <c:v>45955</c:v>
                </c:pt>
              </c:numCache>
            </c:numRef>
          </c:cat>
          <c:val>
            <c:numRef>
              <c:f>[煤炭行业周报信息收集表2309.xlsx]国际煤价走势图!$F$496:$F$522</c:f>
              <c:numCache>
                <c:formatCode>General</c:formatCode>
                <c:ptCount val="27"/>
                <c:pt idx="0">
                  <c:v>75.1</c:v>
                </c:pt>
                <c:pt idx="1">
                  <c:v>75.5</c:v>
                </c:pt>
                <c:pt idx="2">
                  <c:v>75</c:v>
                </c:pt>
                <c:pt idx="3">
                  <c:v>75</c:v>
                </c:pt>
                <c:pt idx="4">
                  <c:v>74.3</c:v>
                </c:pt>
                <c:pt idx="5">
                  <c:v>73.3</c:v>
                </c:pt>
                <c:pt idx="6">
                  <c:v>72.2</c:v>
                </c:pt>
                <c:pt idx="7">
                  <c:v>71.5</c:v>
                </c:pt>
                <c:pt idx="8">
                  <c:v>70.4</c:v>
                </c:pt>
                <c:pt idx="9">
                  <c:v>68.8</c:v>
                </c:pt>
                <c:pt idx="10">
                  <c:v>67</c:v>
                </c:pt>
                <c:pt idx="11">
                  <c:v>66</c:v>
                </c:pt>
                <c:pt idx="12">
                  <c:v>65.8</c:v>
                </c:pt>
                <c:pt idx="13">
                  <c:v>66.5</c:v>
                </c:pt>
                <c:pt idx="14">
                  <c:v>67.6</c:v>
                </c:pt>
                <c:pt idx="15">
                  <c:v>68.2</c:v>
                </c:pt>
                <c:pt idx="16">
                  <c:v>69</c:v>
                </c:pt>
                <c:pt idx="17">
                  <c:v>70.3</c:v>
                </c:pt>
                <c:pt idx="18">
                  <c:v>70.1</c:v>
                </c:pt>
                <c:pt idx="19">
                  <c:v>70.1</c:v>
                </c:pt>
                <c:pt idx="20">
                  <c:v>72</c:v>
                </c:pt>
                <c:pt idx="21">
                  <c:v>71.6</c:v>
                </c:pt>
                <c:pt idx="22">
                  <c:v>70.8</c:v>
                </c:pt>
                <c:pt idx="23">
                  <c:v>69.5</c:v>
                </c:pt>
                <c:pt idx="24">
                  <c:v>68.8</c:v>
                </c:pt>
                <c:pt idx="25">
                  <c:v>68</c:v>
                </c:pt>
                <c:pt idx="26">
                  <c:v>69</c:v>
                </c:pt>
              </c:numCache>
            </c:numRef>
          </c:val>
          <c:smooth val="0"/>
        </c:ser>
        <c:dLbls>
          <c:showLegendKey val="0"/>
          <c:showVal val="0"/>
          <c:showCatName val="0"/>
          <c:showSerName val="0"/>
          <c:showPercent val="0"/>
          <c:showBubbleSize val="0"/>
        </c:dLbls>
        <c:marker val="1"/>
        <c:smooth val="0"/>
        <c:axId val="138670848"/>
        <c:axId val="138672768"/>
      </c:lineChart>
      <c:catAx>
        <c:axId val="138670848"/>
        <c:scaling>
          <c:orientation val="minMax"/>
        </c:scaling>
        <c:delete val="0"/>
        <c:axPos val="b"/>
        <c:numFmt formatCode="m/d;@"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800" b="0" i="0" u="none" strike="noStrike" kern="1200" baseline="0">
                <a:solidFill>
                  <a:sysClr val="windowText" lastClr="000000"/>
                </a:solidFill>
                <a:latin typeface="+mn-lt"/>
                <a:ea typeface="+mn-ea"/>
                <a:cs typeface="+mn-cs"/>
              </a:defRPr>
            </a:pPr>
          </a:p>
        </c:txPr>
        <c:crossAx val="138672768"/>
        <c:crosses val="autoZero"/>
        <c:auto val="0"/>
        <c:lblAlgn val="ctr"/>
        <c:lblOffset val="100"/>
        <c:noMultiLvlLbl val="0"/>
      </c:catAx>
      <c:valAx>
        <c:axId val="138672768"/>
        <c:scaling>
          <c:orientation val="minMax"/>
          <c:max val="150"/>
          <c:min val="50"/>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p>
        </c:txPr>
        <c:crossAx val="138670848"/>
        <c:crosses val="autoZero"/>
        <c:crossBetween val="between"/>
        <c:majorUnit val="50"/>
        <c:minorUnit val="10"/>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77934a3-e2d9-4cfe-9a42-bed0fc67794e}"/>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5</Pages>
  <Words>2360</Words>
  <Characters>2920</Characters>
  <Lines>21</Lines>
  <Paragraphs>6</Paragraphs>
  <TotalTime>47</TotalTime>
  <ScaleCrop>false</ScaleCrop>
  <LinksUpToDate>false</LinksUpToDate>
  <CharactersWithSpaces>2933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2023-07-14T12:54:00Z</dcterms:created>
  <dc:creator>suki</dc:creator>
  <cp:lastModifiedBy>Liu Bouli</cp:lastModifiedBy>
  <cp:lastPrinted>2024-03-09T02:47:00Z</cp:lastPrinted>
  <dcterms:modified xsi:type="dcterms:W3CDTF">2025-10-31T08:33:52Z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2A12B4F5E30146779535478F199EC527_13</vt:lpwstr>
  </property>
  <property fmtid="{D5CDD505-2E9C-101B-9397-08002B2CF9AE}" pid="4" name="KSOTemplateDocerSaveRecord">
    <vt:lpwstr>eyJoZGlkIjoiYjBiNTI2NGE5Zjc2YjU3YmQ4NWRlY2U5MGJjMzk2YzIiLCJ1c2VySWQiOiIxMTY1MzQ2MDEyIn0=</vt:lpwstr>
  </property>
</Properties>
</file>