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33C0" w:rsidRDefault="000B33C0" w:rsidP="000B33C0">
      <w:pPr>
        <w:ind w:firstLineChars="50" w:firstLine="241"/>
        <w:rPr>
          <w:rFonts w:ascii="黑体" w:eastAsia="黑体" w:hAnsi="黑体" w:cs="宋体"/>
          <w:b/>
          <w:kern w:val="0"/>
          <w:sz w:val="48"/>
          <w:szCs w:val="48"/>
        </w:rPr>
      </w:pPr>
      <w:r>
        <w:rPr>
          <w:rFonts w:cs="宋体"/>
          <w:b/>
          <w:noProof/>
          <w:kern w:val="0"/>
          <w:sz w:val="48"/>
          <w:szCs w:val="48"/>
        </w:rPr>
        <w:drawing>
          <wp:anchor distT="0" distB="0" distL="114300" distR="114300" simplePos="0" relativeHeight="251659264" behindDoc="0" locked="0" layoutInCell="1" allowOverlap="1" wp14:anchorId="34EC585D" wp14:editId="6A06BA6E">
            <wp:simplePos x="0" y="0"/>
            <wp:positionH relativeFrom="column">
              <wp:posOffset>-1141095</wp:posOffset>
            </wp:positionH>
            <wp:positionV relativeFrom="paragraph">
              <wp:posOffset>-1800225</wp:posOffset>
            </wp:positionV>
            <wp:extent cx="7600950" cy="1000125"/>
            <wp:effectExtent l="0" t="0" r="0" b="0"/>
            <wp:wrapNone/>
            <wp:docPr id="1" name="图片 1" descr="C:\Users\suki\AppData\Roaming\Tencent\Users\352134081\QQ\WinTemp\RichOle\P1@ZEBS`9Q0@GDU9Z~Z5AX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suki\AppData\Roaming\Tencent\Users\352134081\QQ\WinTemp\RichOle\P1@ZEBS`9Q0@GDU9Z~Z5AXH.jpg"/>
                    <pic:cNvPicPr>
                      <a:picLocks noChangeAspect="1" noChangeArrowheads="1"/>
                    </pic:cNvPicPr>
                  </pic:nvPicPr>
                  <pic:blipFill>
                    <a:blip r:embed="rId7" cstate="print">
                      <a:duotone>
                        <a:schemeClr val="accent5">
                          <a:shade val="45000"/>
                          <a:satMod val="135000"/>
                        </a:schemeClr>
                        <a:prstClr val="white"/>
                      </a:duotone>
                    </a:blip>
                    <a:srcRect/>
                    <a:stretch>
                      <a:fillRect/>
                    </a:stretch>
                  </pic:blipFill>
                  <pic:spPr>
                    <a:xfrm>
                      <a:off x="0" y="0"/>
                      <a:ext cx="7600950" cy="1000125"/>
                    </a:xfrm>
                    <a:prstGeom prst="rect">
                      <a:avLst/>
                    </a:prstGeom>
                    <a:noFill/>
                    <a:ln w="9525">
                      <a:noFill/>
                      <a:miter lim="800000"/>
                      <a:headEnd/>
                      <a:tailEnd/>
                    </a:ln>
                  </pic:spPr>
                </pic:pic>
              </a:graphicData>
            </a:graphic>
          </wp:anchor>
        </w:drawing>
      </w:r>
      <w:r>
        <w:rPr>
          <w:rFonts w:ascii="黑体" w:eastAsia="黑体" w:hAnsi="黑体" w:cs="宋体"/>
          <w:b/>
          <w:noProof/>
          <w:kern w:val="0"/>
          <w:sz w:val="48"/>
          <w:szCs w:val="48"/>
        </w:rPr>
        <mc:AlternateContent>
          <mc:Choice Requires="wps">
            <w:drawing>
              <wp:anchor distT="0" distB="0" distL="114300" distR="114300" simplePos="0" relativeHeight="251660288" behindDoc="0" locked="0" layoutInCell="1" allowOverlap="1" wp14:anchorId="1F2AF537" wp14:editId="4E0DFDFF">
                <wp:simplePos x="0" y="0"/>
                <wp:positionH relativeFrom="column">
                  <wp:posOffset>-819150</wp:posOffset>
                </wp:positionH>
                <wp:positionV relativeFrom="paragraph">
                  <wp:posOffset>388620</wp:posOffset>
                </wp:positionV>
                <wp:extent cx="6264275" cy="0"/>
                <wp:effectExtent l="0" t="0" r="0" b="0"/>
                <wp:wrapNone/>
                <wp:docPr id="8" name="自选图形 4"/>
                <wp:cNvGraphicFramePr/>
                <a:graphic xmlns:a="http://schemas.openxmlformats.org/drawingml/2006/main">
                  <a:graphicData uri="http://schemas.microsoft.com/office/word/2010/wordprocessingShape">
                    <wps:wsp>
                      <wps:cNvCnPr/>
                      <wps:spPr>
                        <a:xfrm>
                          <a:off x="0" y="0"/>
                          <a:ext cx="6264275" cy="0"/>
                        </a:xfrm>
                        <a:prstGeom prst="straightConnector1">
                          <a:avLst/>
                        </a:prstGeom>
                        <a:ln w="12700" cap="flat" cmpd="sng">
                          <a:solidFill>
                            <a:srgbClr val="000000"/>
                          </a:solidFill>
                          <a:prstDash val="solid"/>
                          <a:headEnd type="none" w="med" len="med"/>
                          <a:tailEnd type="none" w="med" len="med"/>
                        </a:ln>
                        <a:effectLst/>
                      </wps:spPr>
                      <wps:bodyPr/>
                    </wps:wsp>
                  </a:graphicData>
                </a:graphic>
              </wp:anchor>
            </w:drawing>
          </mc:Choice>
          <mc:Fallback>
            <w:pict>
              <v:shapetype w14:anchorId="39240BCD" id="_x0000_t32" coordsize="21600,21600" o:spt="32" o:oned="t" path="m,l21600,21600e" filled="f">
                <v:path arrowok="t" fillok="f" o:connecttype="none"/>
                <o:lock v:ext="edit" shapetype="t"/>
              </v:shapetype>
              <v:shape id="自选图形 4" o:spid="_x0000_s1026" type="#_x0000_t32" style="position:absolute;left:0;text-align:left;margin-left:-64.5pt;margin-top:30.6pt;width:493.25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" strokeweight="1pt"/>
            </w:pict>
          </mc:Fallback>
        </mc:AlternateContent>
      </w:r>
      <w:r>
        <w:rPr>
          <w:rFonts w:ascii="黑体" w:eastAsia="黑体" w:hAnsi="黑体" w:cs="宋体" w:hint="eastAsia"/>
          <w:b/>
          <w:kern w:val="0"/>
          <w:sz w:val="48"/>
          <w:szCs w:val="48"/>
        </w:rPr>
        <w:t>新能源行业周报</w:t>
      </w:r>
    </w:p>
    <w:p w:rsidR="000B33C0" w:rsidRDefault="000B33C0" w:rsidP="000B33C0">
      <w:pPr>
        <w:spacing w:line="360" w:lineRule="auto"/>
        <w:rPr>
          <w:rFonts w:asciiTheme="minorEastAsia" w:hAnsiTheme="minorEastAsia"/>
          <w:b/>
          <w:szCs w:val="24"/>
        </w:rPr>
      </w:pPr>
      <w:r>
        <w:rPr>
          <w:rFonts w:asciiTheme="minorEastAsia" w:hAnsiTheme="minorEastAsia"/>
          <w:b/>
          <w:noProof/>
          <w:szCs w:val="24"/>
        </w:rPr>
        <w:drawing>
          <wp:anchor distT="0" distB="0" distL="114300" distR="114300" simplePos="0" relativeHeight="251667456" behindDoc="1" locked="0" layoutInCell="1" allowOverlap="1" wp14:anchorId="6F6EFEE6" wp14:editId="10359F1D">
            <wp:simplePos x="0" y="0"/>
            <wp:positionH relativeFrom="column">
              <wp:posOffset>-24765</wp:posOffset>
            </wp:positionH>
            <wp:positionV relativeFrom="paragraph">
              <wp:posOffset>340995</wp:posOffset>
            </wp:positionV>
            <wp:extent cx="3685540" cy="3319145"/>
            <wp:effectExtent l="0" t="0" r="10160" b="0"/>
            <wp:wrapTopAndBottom/>
            <wp:docPr id="22" name="图示 2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anchor>
        </w:drawing>
      </w:r>
    </w:p>
    <w:p w:rsidR="000B33C0" w:rsidRDefault="000B33C0" w:rsidP="000B33C0">
      <w:pPr>
        <w:spacing w:line="360" w:lineRule="auto"/>
        <w:ind w:leftChars="-607" w:left="-1457"/>
        <w:rPr>
          <w:rFonts w:asciiTheme="minorEastAsia" w:hAnsiTheme="minorEastAsia"/>
          <w:b/>
          <w:szCs w:val="24"/>
        </w:rPr>
      </w:pPr>
    </w:p>
    <w:p w:rsidR="000B33C0" w:rsidRDefault="000B33C0" w:rsidP="000B33C0">
      <w:pPr>
        <w:widowControl/>
        <w:ind w:leftChars="-607" w:left="-1457" w:rightChars="-567" w:right="-1361"/>
        <w:jc w:val="left"/>
        <w:rPr>
          <w:rFonts w:cs="宋体"/>
          <w:kern w:val="0"/>
          <w:szCs w:val="24"/>
        </w:rPr>
      </w:pPr>
      <w:r>
        <w:rPr>
          <w:rFonts w:ascii="黑体" w:eastAsia="黑体" w:hAnsi="黑体" w:cs="宋体"/>
          <w:noProof/>
          <w:kern w:val="0"/>
          <w:sz w:val="44"/>
          <w:szCs w:val="44"/>
        </w:rPr>
        <mc:AlternateContent>
          <mc:Choice Requires="wps">
            <w:drawing>
              <wp:anchor distT="0" distB="0" distL="114300" distR="114300" simplePos="0" relativeHeight="251661312" behindDoc="0" locked="0" layoutInCell="1" allowOverlap="1" wp14:anchorId="5D735D75" wp14:editId="2DD5323D">
                <wp:simplePos x="0" y="0"/>
                <wp:positionH relativeFrom="column">
                  <wp:posOffset>-809625</wp:posOffset>
                </wp:positionH>
                <wp:positionV relativeFrom="paragraph">
                  <wp:posOffset>160020</wp:posOffset>
                </wp:positionV>
                <wp:extent cx="6264275" cy="0"/>
                <wp:effectExtent l="0" t="0" r="0" b="0"/>
                <wp:wrapNone/>
                <wp:docPr id="10" name="自选图形 5"/>
                <wp:cNvGraphicFramePr/>
                <a:graphic xmlns:a="http://schemas.openxmlformats.org/drawingml/2006/main">
                  <a:graphicData uri="http://schemas.microsoft.com/office/word/2010/wordprocessingShape">
                    <wps:wsp>
                      <wps:cNvCnPr/>
                      <wps:spPr>
                        <a:xfrm>
                          <a:off x="0" y="0"/>
                          <a:ext cx="6264275" cy="0"/>
                        </a:xfrm>
                        <a:prstGeom prst="straightConnector1">
                          <a:avLst/>
                        </a:prstGeom>
                        <a:ln w="12700" cap="flat" cmpd="sng">
                          <a:solidFill>
                            <a:srgbClr val="000000"/>
                          </a:solidFill>
                          <a:prstDash val="solid"/>
                          <a:headEnd type="none" w="med" len="med"/>
                          <a:tailEnd type="none" w="med" len="med"/>
                        </a:ln>
                        <a:effectLst/>
                      </wps:spPr>
                      <wps:bodyPr/>
                    </wps:wsp>
                  </a:graphicData>
                </a:graphic>
              </wp:anchor>
            </w:drawing>
          </mc:Choice>
          <mc:Fallback>
            <w:pict>
              <v:shape w14:anchorId="1CAE720B" id="自选图形 5" o:spid="_x0000_s1026" type="#_x0000_t32" style="position:absolute;left:0;text-align:left;margin-left:-63.75pt;margin-top:12.6pt;width:493.25pt;height:0;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" strokeweight="1pt"/>
            </w:pict>
          </mc:Fallback>
        </mc:AlternateContent>
      </w:r>
    </w:p>
    <w:p w:rsidR="000B33C0" w:rsidRDefault="000B33C0" w:rsidP="000B33C0">
      <w:pPr>
        <w:pStyle w:val="a8"/>
        <w:widowControl/>
        <w:numPr>
          <w:ilvl w:val="0"/>
          <w:numId w:val="1"/>
        </w:numPr>
        <w:spacing w:line="360" w:lineRule="auto"/>
        <w:ind w:rightChars="-567" w:right="-1361" w:firstLineChars="0"/>
        <w:jc w:val="left"/>
        <w:rPr>
          <w:rFonts w:ascii="微软雅黑" w:hAnsi="微软雅黑" w:cs="宋体"/>
          <w:b/>
          <w:kern w:val="0"/>
          <w:sz w:val="32"/>
          <w:szCs w:val="32"/>
        </w:rPr>
      </w:pPr>
      <w:r>
        <w:rPr>
          <w:rFonts w:ascii="微软雅黑" w:hAnsi="微软雅黑" w:cs="宋体" w:hint="eastAsia"/>
          <w:b/>
          <w:kern w:val="0"/>
          <w:sz w:val="32"/>
          <w:szCs w:val="32"/>
        </w:rPr>
        <w:t>市场回顾</w:t>
      </w:r>
      <w:r>
        <w:rPr>
          <w:rFonts w:ascii="微软雅黑" w:hAnsi="微软雅黑" w:cs="宋体" w:hint="eastAsia"/>
          <w:b/>
          <w:kern w:val="0"/>
          <w:sz w:val="32"/>
          <w:szCs w:val="32"/>
        </w:rPr>
        <w:t>-</w:t>
      </w:r>
      <w:r>
        <w:rPr>
          <w:rFonts w:ascii="微软雅黑" w:hAnsi="微软雅黑" w:cs="宋体" w:hint="eastAsia"/>
          <w:b/>
          <w:kern w:val="0"/>
          <w:sz w:val="32"/>
          <w:szCs w:val="32"/>
        </w:rPr>
        <w:t>碳酸锂</w:t>
      </w:r>
    </w:p>
    <w:p w:rsidR="002508E9" w:rsidRPr="00E401EE" w:rsidRDefault="000B33C0" w:rsidP="002508E9">
      <w:pPr>
        <w:widowControl/>
        <w:spacing w:line="360" w:lineRule="auto"/>
        <w:rPr>
          <w:rFonts w:asciiTheme="minorEastAsia" w:eastAsiaTheme="minorEastAsia" w:hAnsiTheme="minorEastAsia" w:hint="eastAsia"/>
          <w:szCs w:val="24"/>
        </w:rPr>
      </w:pPr>
      <w:r w:rsidRPr="002508E9">
        <w:rPr>
          <w:rFonts w:asciiTheme="minorEastAsia" w:eastAsiaTheme="minorEastAsia" w:hAnsiTheme="minorEastAsia" w:hint="eastAsia"/>
          <w:szCs w:val="24"/>
        </w:rPr>
        <w:t>本周，新能源市场碳酸锂各厂商最新出厂价格</w:t>
      </w:r>
      <w:r w:rsidR="002A702E" w:rsidRPr="002508E9">
        <w:rPr>
          <w:rFonts w:asciiTheme="minorEastAsia" w:eastAsiaTheme="minorEastAsia" w:hAnsiTheme="minorEastAsia" w:hint="eastAsia"/>
          <w:szCs w:val="24"/>
        </w:rPr>
        <w:t>较</w:t>
      </w:r>
      <w:r w:rsidR="00B85AC4" w:rsidRPr="002508E9">
        <w:rPr>
          <w:rFonts w:asciiTheme="minorEastAsia" w:eastAsiaTheme="minorEastAsia" w:hAnsiTheme="minorEastAsia" w:hint="eastAsia"/>
          <w:szCs w:val="24"/>
        </w:rPr>
        <w:t>上周</w:t>
      </w:r>
      <w:r w:rsidR="002508E9" w:rsidRPr="002508E9">
        <w:rPr>
          <w:rFonts w:asciiTheme="minorEastAsia" w:eastAsiaTheme="minorEastAsia" w:hAnsiTheme="minorEastAsia" w:hint="eastAsia"/>
          <w:szCs w:val="24"/>
        </w:rPr>
        <w:t>基本稳定不变</w:t>
      </w:r>
      <w:r w:rsidRPr="002508E9">
        <w:rPr>
          <w:rFonts w:asciiTheme="minorEastAsia" w:eastAsiaTheme="minorEastAsia" w:hAnsiTheme="minorEastAsia" w:hint="eastAsia"/>
          <w:szCs w:val="24"/>
        </w:rPr>
        <w:t>，工业级碳酸锂平均出厂报价</w:t>
      </w:r>
      <w:r w:rsidR="00FC6568">
        <w:rPr>
          <w:rFonts w:asciiTheme="minorEastAsia" w:eastAsiaTheme="minorEastAsia" w:hAnsiTheme="minorEastAsia" w:hint="eastAsia"/>
          <w:szCs w:val="24"/>
        </w:rPr>
        <w:t>7.99</w:t>
      </w:r>
      <w:r w:rsidRPr="002508E9">
        <w:rPr>
          <w:rFonts w:asciiTheme="minorEastAsia" w:eastAsiaTheme="minorEastAsia" w:hAnsiTheme="minorEastAsia" w:hint="eastAsia"/>
          <w:szCs w:val="24"/>
        </w:rPr>
        <w:t>万元/吨，电池级碳酸锂价平均出厂报价为</w:t>
      </w:r>
      <w:r w:rsidR="00FC6568">
        <w:rPr>
          <w:rFonts w:asciiTheme="minorEastAsia" w:eastAsiaTheme="minorEastAsia" w:hAnsiTheme="minorEastAsia" w:hint="eastAsia"/>
          <w:szCs w:val="24"/>
        </w:rPr>
        <w:t>8.79</w:t>
      </w:r>
      <w:r w:rsidRPr="002508E9">
        <w:rPr>
          <w:rFonts w:asciiTheme="minorEastAsia" w:eastAsiaTheme="minorEastAsia" w:hAnsiTheme="minorEastAsia" w:hint="eastAsia"/>
          <w:szCs w:val="24"/>
        </w:rPr>
        <w:t>万元/吨</w:t>
      </w:r>
      <w:r w:rsidR="00FC6568">
        <w:rPr>
          <w:rFonts w:asciiTheme="minorEastAsia" w:eastAsiaTheme="minorEastAsia" w:hAnsiTheme="minorEastAsia" w:hint="eastAsia"/>
          <w:szCs w:val="24"/>
        </w:rPr>
        <w:t>，预计将维持价格稳定</w:t>
      </w:r>
      <w:r w:rsidRPr="002508E9">
        <w:rPr>
          <w:rFonts w:asciiTheme="minorEastAsia" w:eastAsiaTheme="minorEastAsia" w:hAnsiTheme="minorEastAsia" w:hint="eastAsia"/>
          <w:szCs w:val="24"/>
        </w:rPr>
        <w:t>。</w:t>
      </w:r>
      <w:r w:rsidR="009D4AC3">
        <w:rPr>
          <w:rFonts w:asciiTheme="minorEastAsia" w:eastAsiaTheme="minorEastAsia" w:hAnsiTheme="minorEastAsia" w:hint="eastAsia"/>
          <w:szCs w:val="24"/>
        </w:rPr>
        <w:t xml:space="preserve"> </w:t>
      </w:r>
      <w:r w:rsidR="00E401EE" w:rsidRPr="00E401EE">
        <w:rPr>
          <w:rFonts w:asciiTheme="minorEastAsia" w:eastAsiaTheme="minorEastAsia" w:hAnsiTheme="minorEastAsia" w:hint="eastAsia"/>
          <w:szCs w:val="24"/>
        </w:rPr>
        <w:t>车市寒冬,新能源车一枝独秀。根据中汽协数据,2018年1-11月合计实现销量2542万辆,同比下降1.65%,其中11月销量255万辆,同比下降14%,环比增长7%,7月以来连续5个月同比出现负增长,且跌幅继续扩大。新能源车成为唯一亮点,11月实现销量16.9万辆,同比增长37.6%,1-11月累计实现销量103万辆,同比增长68%。分车企来看,上汽集团11月销量64.36万辆,同比下降约10%,1-11月销量同比增长3.15%。广汽集团11月销量20.41万辆,同比增长13%,1-11月累计销量同比增长7.59%。吉利汽车11月销量14.17万辆,同比增长0.3%,1-11月累计销量同比增长29%。</w:t>
      </w:r>
    </w:p>
    <w:p w:rsidR="00170704" w:rsidRPr="00EF0A82" w:rsidRDefault="000B33C0" w:rsidP="002508E9">
      <w:pPr>
        <w:widowControl/>
        <w:spacing w:line="360" w:lineRule="auto"/>
        <w:rPr>
          <w:rFonts w:asciiTheme="minorEastAsia" w:eastAsiaTheme="minorEastAsia" w:hAnsiTheme="minorEastAsia"/>
          <w:b/>
          <w:bCs/>
          <w:sz w:val="28"/>
          <w:szCs w:val="28"/>
        </w:rPr>
      </w:pPr>
      <w:r>
        <w:rPr>
          <w:rFonts w:asciiTheme="minorEastAsia" w:eastAsiaTheme="minorEastAsia" w:hAnsiTheme="minorEastAsia" w:hint="eastAsia"/>
          <w:b/>
          <w:bCs/>
          <w:sz w:val="28"/>
          <w:szCs w:val="28"/>
        </w:rPr>
        <w:lastRenderedPageBreak/>
        <w:t>碳酸锂报价情况表</w:t>
      </w:r>
      <w:r w:rsidR="00E401EE">
        <w:rPr>
          <w:rFonts w:asciiTheme="minorEastAsia" w:eastAsiaTheme="minorEastAsia" w:hAnsiTheme="minorEastAsia" w:hint="eastAsia"/>
          <w:b/>
          <w:bCs/>
          <w:sz w:val="28"/>
          <w:szCs w:val="28"/>
        </w:rPr>
        <w:t>：</w:t>
      </w:r>
    </w:p>
    <w:tbl>
      <w:tblPr>
        <w:tblStyle w:val="-1"/>
        <w:tblW w:w="7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9"/>
        <w:gridCol w:w="984"/>
        <w:gridCol w:w="1568"/>
        <w:gridCol w:w="1417"/>
        <w:gridCol w:w="1276"/>
        <w:gridCol w:w="1418"/>
      </w:tblGrid>
      <w:tr w:rsidR="001F3B45" w:rsidRPr="00EF0A82" w:rsidTr="00023451">
        <w:trPr>
          <w:cnfStyle w:val="100000000000" w:firstRow="1" w:lastRow="0" w:firstColumn="0" w:lastColumn="0" w:oddVBand="0" w:evenVBand="0" w:oddHBand="0" w:evenHBand="0" w:firstRowFirstColumn="0" w:firstRowLastColumn="0" w:lastRowFirstColumn="0" w:lastRowLastColumn="0"/>
          <w:trHeight w:val="1170"/>
        </w:trPr>
        <w:tc>
          <w:tcPr>
            <w:cnfStyle w:val="001000000000" w:firstRow="0" w:lastRow="0" w:firstColumn="1" w:lastColumn="0" w:oddVBand="0" w:evenVBand="0" w:oddHBand="0" w:evenHBand="0" w:firstRowFirstColumn="0" w:firstRowLastColumn="0" w:lastRowFirstColumn="0" w:lastRowLastColumn="0"/>
            <w:tcW w:w="1149" w:type="dxa"/>
            <w:tcBorders>
              <w:top w:val="none" w:sz="0" w:space="0" w:color="auto"/>
              <w:left w:val="none" w:sz="0" w:space="0" w:color="auto"/>
              <w:bottom w:val="none" w:sz="0" w:space="0" w:color="auto"/>
              <w:right w:val="none" w:sz="0" w:space="0" w:color="auto"/>
            </w:tcBorders>
            <w:vAlign w:val="center"/>
            <w:hideMark/>
          </w:tcPr>
          <w:p w:rsidR="001F3B45" w:rsidRPr="00FC6568" w:rsidRDefault="001F3B45" w:rsidP="001F3B45">
            <w:pPr>
              <w:widowControl/>
              <w:jc w:val="center"/>
              <w:rPr>
                <w:color w:val="000000"/>
              </w:rPr>
            </w:pPr>
            <w:r w:rsidRPr="00FC6568">
              <w:rPr>
                <w:rFonts w:hint="eastAsia"/>
                <w:bCs w:val="0"/>
                <w:color w:val="000000"/>
              </w:rPr>
              <w:t>报价类型</w:t>
            </w:r>
          </w:p>
        </w:tc>
        <w:tc>
          <w:tcPr>
            <w:tcW w:w="984" w:type="dxa"/>
            <w:tcBorders>
              <w:top w:val="none" w:sz="0" w:space="0" w:color="auto"/>
              <w:left w:val="none" w:sz="0" w:space="0" w:color="auto"/>
              <w:bottom w:val="none" w:sz="0" w:space="0" w:color="auto"/>
              <w:right w:val="none" w:sz="0" w:space="0" w:color="auto"/>
            </w:tcBorders>
            <w:vAlign w:val="center"/>
            <w:hideMark/>
          </w:tcPr>
          <w:p w:rsidR="001F3B45" w:rsidRPr="00FC6568" w:rsidRDefault="001F3B45" w:rsidP="001F3B45">
            <w:pPr>
              <w:jc w:val="center"/>
              <w:cnfStyle w:val="100000000000" w:firstRow="1" w:lastRow="0" w:firstColumn="0" w:lastColumn="0" w:oddVBand="0" w:evenVBand="0" w:oddHBand="0" w:evenHBand="0" w:firstRowFirstColumn="0" w:firstRowLastColumn="0" w:lastRowFirstColumn="0" w:lastRowLastColumn="0"/>
              <w:rPr>
                <w:rFonts w:hint="eastAsia"/>
                <w:bCs w:val="0"/>
                <w:color w:val="000000"/>
              </w:rPr>
            </w:pPr>
            <w:r w:rsidRPr="00FC6568">
              <w:rPr>
                <w:rFonts w:hint="eastAsia"/>
                <w:bCs w:val="0"/>
                <w:color w:val="000000"/>
              </w:rPr>
              <w:t>规格</w:t>
            </w:r>
          </w:p>
        </w:tc>
        <w:tc>
          <w:tcPr>
            <w:tcW w:w="1568" w:type="dxa"/>
            <w:tcBorders>
              <w:top w:val="none" w:sz="0" w:space="0" w:color="auto"/>
              <w:left w:val="none" w:sz="0" w:space="0" w:color="auto"/>
              <w:bottom w:val="none" w:sz="0" w:space="0" w:color="auto"/>
              <w:right w:val="none" w:sz="0" w:space="0" w:color="auto"/>
            </w:tcBorders>
            <w:vAlign w:val="center"/>
            <w:hideMark/>
          </w:tcPr>
          <w:p w:rsidR="001F3B45" w:rsidRPr="00FC6568" w:rsidRDefault="001F3B45" w:rsidP="001F3B45">
            <w:pPr>
              <w:jc w:val="center"/>
              <w:cnfStyle w:val="100000000000" w:firstRow="1" w:lastRow="0" w:firstColumn="0" w:lastColumn="0" w:oddVBand="0" w:evenVBand="0" w:oddHBand="0" w:evenHBand="0" w:firstRowFirstColumn="0" w:firstRowLastColumn="0" w:lastRowFirstColumn="0" w:lastRowLastColumn="0"/>
              <w:rPr>
                <w:rFonts w:hint="eastAsia"/>
                <w:bCs w:val="0"/>
                <w:color w:val="000000"/>
              </w:rPr>
            </w:pPr>
            <w:r w:rsidRPr="00FC6568">
              <w:rPr>
                <w:rFonts w:hint="eastAsia"/>
                <w:bCs w:val="0"/>
                <w:color w:val="000000"/>
              </w:rPr>
              <w:t>报价单位</w:t>
            </w:r>
          </w:p>
        </w:tc>
        <w:tc>
          <w:tcPr>
            <w:tcW w:w="1417" w:type="dxa"/>
            <w:tcBorders>
              <w:top w:val="none" w:sz="0" w:space="0" w:color="auto"/>
              <w:left w:val="none" w:sz="0" w:space="0" w:color="auto"/>
              <w:bottom w:val="none" w:sz="0" w:space="0" w:color="auto"/>
              <w:right w:val="none" w:sz="0" w:space="0" w:color="auto"/>
            </w:tcBorders>
            <w:vAlign w:val="center"/>
            <w:hideMark/>
          </w:tcPr>
          <w:p w:rsidR="001F3B45" w:rsidRPr="00FC6568" w:rsidRDefault="001F3B45" w:rsidP="001F3B45">
            <w:pPr>
              <w:jc w:val="center"/>
              <w:cnfStyle w:val="100000000000" w:firstRow="1" w:lastRow="0" w:firstColumn="0" w:lastColumn="0" w:oddVBand="0" w:evenVBand="0" w:oddHBand="0" w:evenHBand="0" w:firstRowFirstColumn="0" w:firstRowLastColumn="0" w:lastRowFirstColumn="0" w:lastRowLastColumn="0"/>
              <w:rPr>
                <w:rFonts w:hint="eastAsia"/>
                <w:bCs w:val="0"/>
                <w:color w:val="000000"/>
                <w:sz w:val="22"/>
              </w:rPr>
            </w:pPr>
            <w:r w:rsidRPr="00FC6568">
              <w:rPr>
                <w:rFonts w:hint="eastAsia"/>
                <w:bCs w:val="0"/>
                <w:color w:val="000000"/>
                <w:sz w:val="22"/>
              </w:rPr>
              <w:t>12月7日报价</w:t>
            </w:r>
            <w:r w:rsidRPr="00FC6568">
              <w:rPr>
                <w:rFonts w:hint="eastAsia"/>
                <w:bCs w:val="0"/>
                <w:color w:val="000000"/>
                <w:sz w:val="22"/>
              </w:rPr>
              <w:br/>
              <w:t>（元/吨）</w:t>
            </w:r>
          </w:p>
        </w:tc>
        <w:tc>
          <w:tcPr>
            <w:tcW w:w="1276" w:type="dxa"/>
            <w:tcBorders>
              <w:top w:val="none" w:sz="0" w:space="0" w:color="auto"/>
              <w:left w:val="none" w:sz="0" w:space="0" w:color="auto"/>
              <w:bottom w:val="none" w:sz="0" w:space="0" w:color="auto"/>
              <w:right w:val="none" w:sz="0" w:space="0" w:color="auto"/>
            </w:tcBorders>
            <w:vAlign w:val="center"/>
            <w:hideMark/>
          </w:tcPr>
          <w:p w:rsidR="001F3B45" w:rsidRPr="00FC6568" w:rsidRDefault="001F3B45" w:rsidP="001F3B45">
            <w:pPr>
              <w:jc w:val="center"/>
              <w:cnfStyle w:val="100000000000" w:firstRow="1" w:lastRow="0" w:firstColumn="0" w:lastColumn="0" w:oddVBand="0" w:evenVBand="0" w:oddHBand="0" w:evenHBand="0" w:firstRowFirstColumn="0" w:firstRowLastColumn="0" w:lastRowFirstColumn="0" w:lastRowLastColumn="0"/>
              <w:rPr>
                <w:rFonts w:hint="eastAsia"/>
                <w:bCs w:val="0"/>
                <w:color w:val="000000"/>
                <w:sz w:val="22"/>
              </w:rPr>
            </w:pPr>
            <w:r w:rsidRPr="00FC6568">
              <w:rPr>
                <w:rFonts w:hint="eastAsia"/>
                <w:bCs w:val="0"/>
                <w:color w:val="000000"/>
                <w:sz w:val="22"/>
              </w:rPr>
              <w:t>12月14日报价</w:t>
            </w:r>
            <w:r w:rsidRPr="00FC6568">
              <w:rPr>
                <w:rFonts w:hint="eastAsia"/>
                <w:bCs w:val="0"/>
                <w:color w:val="000000"/>
                <w:sz w:val="22"/>
              </w:rPr>
              <w:br/>
              <w:t>（元/吨）</w:t>
            </w:r>
          </w:p>
        </w:tc>
        <w:tc>
          <w:tcPr>
            <w:tcW w:w="1418" w:type="dxa"/>
            <w:tcBorders>
              <w:top w:val="none" w:sz="0" w:space="0" w:color="auto"/>
              <w:left w:val="none" w:sz="0" w:space="0" w:color="auto"/>
              <w:bottom w:val="none" w:sz="0" w:space="0" w:color="auto"/>
              <w:right w:val="none" w:sz="0" w:space="0" w:color="auto"/>
            </w:tcBorders>
            <w:vAlign w:val="center"/>
            <w:hideMark/>
          </w:tcPr>
          <w:p w:rsidR="001F3B45" w:rsidRPr="00FC6568" w:rsidRDefault="001F3B45" w:rsidP="001F3B45">
            <w:pPr>
              <w:jc w:val="center"/>
              <w:cnfStyle w:val="100000000000" w:firstRow="1" w:lastRow="0" w:firstColumn="0" w:lastColumn="0" w:oddVBand="0" w:evenVBand="0" w:oddHBand="0" w:evenHBand="0" w:firstRowFirstColumn="0" w:firstRowLastColumn="0" w:lastRowFirstColumn="0" w:lastRowLastColumn="0"/>
              <w:rPr>
                <w:rFonts w:hint="eastAsia"/>
                <w:bCs w:val="0"/>
                <w:color w:val="000000"/>
                <w:sz w:val="22"/>
              </w:rPr>
            </w:pPr>
            <w:r w:rsidRPr="00FC6568">
              <w:rPr>
                <w:rFonts w:hint="eastAsia"/>
                <w:bCs w:val="0"/>
                <w:color w:val="000000"/>
                <w:sz w:val="22"/>
              </w:rPr>
              <w:t>涨跌幅</w:t>
            </w:r>
            <w:r w:rsidRPr="00FC6568">
              <w:rPr>
                <w:rFonts w:hint="eastAsia"/>
                <w:bCs w:val="0"/>
                <w:color w:val="000000"/>
                <w:sz w:val="22"/>
              </w:rPr>
              <w:br/>
              <w:t>（元/吨）</w:t>
            </w:r>
          </w:p>
        </w:tc>
      </w:tr>
      <w:tr w:rsidR="001F3B45" w:rsidRPr="00EF0A82" w:rsidTr="00023451">
        <w:trPr>
          <w:cnfStyle w:val="000000100000" w:firstRow="0" w:lastRow="0" w:firstColumn="0" w:lastColumn="0" w:oddVBand="0" w:evenVBand="0" w:oddHBand="1" w:evenHBand="0" w:firstRowFirstColumn="0" w:firstRowLastColumn="0" w:lastRowFirstColumn="0" w:lastRowLastColumn="0"/>
          <w:trHeight w:val="469"/>
        </w:trPr>
        <w:tc>
          <w:tcPr>
            <w:cnfStyle w:val="001000000000" w:firstRow="0" w:lastRow="0" w:firstColumn="1" w:lastColumn="0" w:oddVBand="0" w:evenVBand="0" w:oddHBand="0" w:evenHBand="0" w:firstRowFirstColumn="0" w:firstRowLastColumn="0" w:lastRowFirstColumn="0" w:lastRowLastColumn="0"/>
            <w:tcW w:w="1149" w:type="dxa"/>
            <w:tcBorders>
              <w:left w:val="none" w:sz="0" w:space="0" w:color="auto"/>
              <w:right w:val="none" w:sz="0" w:space="0" w:color="auto"/>
            </w:tcBorders>
            <w:vAlign w:val="center"/>
            <w:hideMark/>
          </w:tcPr>
          <w:p w:rsidR="001F3B45" w:rsidRPr="00FC6568" w:rsidRDefault="001F3B45" w:rsidP="00FC6568">
            <w:pPr>
              <w:spacing w:line="360" w:lineRule="auto"/>
              <w:jc w:val="center"/>
              <w:rPr>
                <w:rFonts w:hint="eastAsia"/>
                <w:b w:val="0"/>
                <w:bCs w:val="0"/>
                <w:color w:val="000000"/>
                <w:sz w:val="22"/>
              </w:rPr>
            </w:pPr>
            <w:r w:rsidRPr="00FC6568">
              <w:rPr>
                <w:rFonts w:hint="eastAsia"/>
                <w:b w:val="0"/>
                <w:color w:val="000000"/>
                <w:sz w:val="22"/>
              </w:rPr>
              <w:t>市场价</w:t>
            </w:r>
          </w:p>
        </w:tc>
        <w:tc>
          <w:tcPr>
            <w:tcW w:w="984" w:type="dxa"/>
            <w:tcBorders>
              <w:left w:val="none" w:sz="0" w:space="0" w:color="auto"/>
              <w:right w:val="none" w:sz="0" w:space="0" w:color="auto"/>
            </w:tcBorders>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电池级</w:t>
            </w:r>
          </w:p>
        </w:tc>
        <w:tc>
          <w:tcPr>
            <w:tcW w:w="1568" w:type="dxa"/>
            <w:tcBorders>
              <w:left w:val="none" w:sz="0" w:space="0" w:color="auto"/>
              <w:right w:val="none" w:sz="0" w:space="0" w:color="auto"/>
            </w:tcBorders>
            <w:noWrap/>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 xml:space="preserve">四川长和华锂 </w:t>
            </w:r>
          </w:p>
        </w:tc>
        <w:tc>
          <w:tcPr>
            <w:tcW w:w="1417" w:type="dxa"/>
            <w:tcBorders>
              <w:left w:val="none" w:sz="0" w:space="0" w:color="auto"/>
              <w:right w:val="none" w:sz="0" w:space="0" w:color="auto"/>
            </w:tcBorders>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85000</w:t>
            </w:r>
          </w:p>
        </w:tc>
        <w:tc>
          <w:tcPr>
            <w:tcW w:w="1276" w:type="dxa"/>
            <w:tcBorders>
              <w:left w:val="none" w:sz="0" w:space="0" w:color="auto"/>
              <w:right w:val="none" w:sz="0" w:space="0" w:color="auto"/>
            </w:tcBorders>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85000</w:t>
            </w:r>
          </w:p>
        </w:tc>
        <w:tc>
          <w:tcPr>
            <w:tcW w:w="1418" w:type="dxa"/>
            <w:tcBorders>
              <w:left w:val="none" w:sz="0" w:space="0" w:color="auto"/>
              <w:right w:val="none" w:sz="0" w:space="0" w:color="auto"/>
            </w:tcBorders>
            <w:noWrap/>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323232"/>
                <w:sz w:val="22"/>
              </w:rPr>
            </w:pPr>
            <w:r>
              <w:rPr>
                <w:rFonts w:hint="eastAsia"/>
                <w:color w:val="323232"/>
                <w:sz w:val="22"/>
              </w:rPr>
              <w:t>0</w:t>
            </w:r>
          </w:p>
        </w:tc>
      </w:tr>
      <w:tr w:rsidR="001F3B45" w:rsidRPr="00EF0A82" w:rsidTr="00023451">
        <w:trPr>
          <w:trHeight w:val="270"/>
        </w:trPr>
        <w:tc>
          <w:tcPr>
            <w:cnfStyle w:val="001000000000" w:firstRow="0" w:lastRow="0" w:firstColumn="1" w:lastColumn="0" w:oddVBand="0" w:evenVBand="0" w:oddHBand="0" w:evenHBand="0" w:firstRowFirstColumn="0" w:firstRowLastColumn="0" w:lastRowFirstColumn="0" w:lastRowLastColumn="0"/>
            <w:tcW w:w="1149" w:type="dxa"/>
            <w:vAlign w:val="center"/>
            <w:hideMark/>
          </w:tcPr>
          <w:p w:rsidR="001F3B45" w:rsidRPr="00FC6568" w:rsidRDefault="001F3B45" w:rsidP="00FC6568">
            <w:pPr>
              <w:spacing w:line="360" w:lineRule="auto"/>
              <w:jc w:val="center"/>
              <w:rPr>
                <w:rFonts w:hint="eastAsia"/>
                <w:b w:val="0"/>
                <w:color w:val="000000"/>
                <w:sz w:val="22"/>
              </w:rPr>
            </w:pPr>
            <w:r w:rsidRPr="00FC6568">
              <w:rPr>
                <w:rFonts w:hint="eastAsia"/>
                <w:b w:val="0"/>
                <w:color w:val="000000"/>
                <w:sz w:val="22"/>
              </w:rPr>
              <w:t>市场价</w:t>
            </w:r>
          </w:p>
        </w:tc>
        <w:tc>
          <w:tcPr>
            <w:tcW w:w="984" w:type="dxa"/>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000000"/>
                <w:sz w:val="22"/>
              </w:rPr>
            </w:pPr>
            <w:r>
              <w:rPr>
                <w:rFonts w:hint="eastAsia"/>
                <w:color w:val="000000"/>
                <w:sz w:val="22"/>
              </w:rPr>
              <w:t>电池级</w:t>
            </w:r>
          </w:p>
        </w:tc>
        <w:tc>
          <w:tcPr>
            <w:tcW w:w="1568" w:type="dxa"/>
            <w:noWrap/>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000000"/>
                <w:sz w:val="22"/>
              </w:rPr>
            </w:pPr>
            <w:r>
              <w:rPr>
                <w:rFonts w:hint="eastAsia"/>
                <w:color w:val="000000"/>
                <w:sz w:val="22"/>
              </w:rPr>
              <w:t xml:space="preserve">湖南盐湖 </w:t>
            </w:r>
          </w:p>
        </w:tc>
        <w:tc>
          <w:tcPr>
            <w:tcW w:w="1417" w:type="dxa"/>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000000"/>
                <w:sz w:val="22"/>
              </w:rPr>
            </w:pPr>
            <w:r>
              <w:rPr>
                <w:rFonts w:hint="eastAsia"/>
                <w:color w:val="000000"/>
                <w:sz w:val="22"/>
              </w:rPr>
              <w:t>88000</w:t>
            </w:r>
          </w:p>
        </w:tc>
        <w:tc>
          <w:tcPr>
            <w:tcW w:w="1276" w:type="dxa"/>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000000"/>
                <w:sz w:val="22"/>
              </w:rPr>
            </w:pPr>
            <w:r>
              <w:rPr>
                <w:rFonts w:hint="eastAsia"/>
                <w:color w:val="000000"/>
                <w:sz w:val="22"/>
              </w:rPr>
              <w:t>88000</w:t>
            </w:r>
          </w:p>
        </w:tc>
        <w:tc>
          <w:tcPr>
            <w:tcW w:w="1418" w:type="dxa"/>
            <w:noWrap/>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323232"/>
                <w:sz w:val="22"/>
              </w:rPr>
            </w:pPr>
            <w:r>
              <w:rPr>
                <w:rFonts w:hint="eastAsia"/>
                <w:color w:val="323232"/>
                <w:sz w:val="22"/>
              </w:rPr>
              <w:t>0</w:t>
            </w:r>
          </w:p>
        </w:tc>
      </w:tr>
      <w:tr w:rsidR="001F3B45" w:rsidRPr="00EF0A82" w:rsidTr="00023451">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149" w:type="dxa"/>
            <w:tcBorders>
              <w:left w:val="none" w:sz="0" w:space="0" w:color="auto"/>
              <w:right w:val="none" w:sz="0" w:space="0" w:color="auto"/>
            </w:tcBorders>
            <w:vAlign w:val="center"/>
            <w:hideMark/>
          </w:tcPr>
          <w:p w:rsidR="001F3B45" w:rsidRPr="00FC6568" w:rsidRDefault="001F3B45" w:rsidP="00FC6568">
            <w:pPr>
              <w:spacing w:line="360" w:lineRule="auto"/>
              <w:jc w:val="center"/>
              <w:rPr>
                <w:rFonts w:hint="eastAsia"/>
                <w:b w:val="0"/>
                <w:color w:val="000000"/>
                <w:sz w:val="22"/>
              </w:rPr>
            </w:pPr>
            <w:r w:rsidRPr="00FC6568">
              <w:rPr>
                <w:rFonts w:hint="eastAsia"/>
                <w:b w:val="0"/>
                <w:color w:val="000000"/>
                <w:sz w:val="22"/>
              </w:rPr>
              <w:t>出厂价</w:t>
            </w:r>
          </w:p>
        </w:tc>
        <w:tc>
          <w:tcPr>
            <w:tcW w:w="984" w:type="dxa"/>
            <w:tcBorders>
              <w:left w:val="none" w:sz="0" w:space="0" w:color="auto"/>
              <w:right w:val="none" w:sz="0" w:space="0" w:color="auto"/>
            </w:tcBorders>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电池级</w:t>
            </w:r>
          </w:p>
        </w:tc>
        <w:tc>
          <w:tcPr>
            <w:tcW w:w="1568" w:type="dxa"/>
            <w:tcBorders>
              <w:left w:val="none" w:sz="0" w:space="0" w:color="auto"/>
              <w:right w:val="none" w:sz="0" w:space="0" w:color="auto"/>
            </w:tcBorders>
            <w:noWrap/>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 xml:space="preserve">上海域伦 </w:t>
            </w:r>
          </w:p>
        </w:tc>
        <w:tc>
          <w:tcPr>
            <w:tcW w:w="1417" w:type="dxa"/>
            <w:tcBorders>
              <w:left w:val="none" w:sz="0" w:space="0" w:color="auto"/>
              <w:right w:val="none" w:sz="0" w:space="0" w:color="auto"/>
            </w:tcBorders>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82000</w:t>
            </w:r>
          </w:p>
        </w:tc>
        <w:tc>
          <w:tcPr>
            <w:tcW w:w="1276" w:type="dxa"/>
            <w:tcBorders>
              <w:left w:val="none" w:sz="0" w:space="0" w:color="auto"/>
              <w:right w:val="none" w:sz="0" w:space="0" w:color="auto"/>
            </w:tcBorders>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82000</w:t>
            </w:r>
          </w:p>
        </w:tc>
        <w:tc>
          <w:tcPr>
            <w:tcW w:w="1418" w:type="dxa"/>
            <w:tcBorders>
              <w:left w:val="none" w:sz="0" w:space="0" w:color="auto"/>
              <w:right w:val="none" w:sz="0" w:space="0" w:color="auto"/>
            </w:tcBorders>
            <w:noWrap/>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323232"/>
                <w:sz w:val="22"/>
              </w:rPr>
            </w:pPr>
            <w:r>
              <w:rPr>
                <w:rFonts w:hint="eastAsia"/>
                <w:color w:val="323232"/>
                <w:sz w:val="22"/>
              </w:rPr>
              <w:t>0</w:t>
            </w:r>
          </w:p>
        </w:tc>
      </w:tr>
      <w:tr w:rsidR="001F3B45" w:rsidRPr="00EF0A82" w:rsidTr="00023451">
        <w:trPr>
          <w:trHeight w:val="270"/>
        </w:trPr>
        <w:tc>
          <w:tcPr>
            <w:cnfStyle w:val="001000000000" w:firstRow="0" w:lastRow="0" w:firstColumn="1" w:lastColumn="0" w:oddVBand="0" w:evenVBand="0" w:oddHBand="0" w:evenHBand="0" w:firstRowFirstColumn="0" w:firstRowLastColumn="0" w:lastRowFirstColumn="0" w:lastRowLastColumn="0"/>
            <w:tcW w:w="1149" w:type="dxa"/>
            <w:vAlign w:val="center"/>
            <w:hideMark/>
          </w:tcPr>
          <w:p w:rsidR="001F3B45" w:rsidRPr="00FC6568" w:rsidRDefault="001F3B45" w:rsidP="00FC6568">
            <w:pPr>
              <w:spacing w:line="360" w:lineRule="auto"/>
              <w:jc w:val="center"/>
              <w:rPr>
                <w:rFonts w:hint="eastAsia"/>
                <w:b w:val="0"/>
                <w:color w:val="000000"/>
                <w:sz w:val="22"/>
              </w:rPr>
            </w:pPr>
            <w:r w:rsidRPr="00FC6568">
              <w:rPr>
                <w:rFonts w:hint="eastAsia"/>
                <w:b w:val="0"/>
                <w:color w:val="000000"/>
                <w:sz w:val="22"/>
              </w:rPr>
              <w:t>出厂价</w:t>
            </w:r>
          </w:p>
        </w:tc>
        <w:tc>
          <w:tcPr>
            <w:tcW w:w="984" w:type="dxa"/>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000000"/>
                <w:sz w:val="22"/>
              </w:rPr>
            </w:pPr>
            <w:r>
              <w:rPr>
                <w:rFonts w:hint="eastAsia"/>
                <w:color w:val="000000"/>
                <w:sz w:val="22"/>
              </w:rPr>
              <w:t>电池级</w:t>
            </w:r>
          </w:p>
        </w:tc>
        <w:tc>
          <w:tcPr>
            <w:tcW w:w="1568" w:type="dxa"/>
            <w:noWrap/>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000000"/>
                <w:sz w:val="22"/>
              </w:rPr>
            </w:pPr>
            <w:r>
              <w:rPr>
                <w:rFonts w:hint="eastAsia"/>
                <w:color w:val="000000"/>
                <w:sz w:val="22"/>
              </w:rPr>
              <w:t xml:space="preserve">自贡同发荣 </w:t>
            </w:r>
          </w:p>
        </w:tc>
        <w:tc>
          <w:tcPr>
            <w:tcW w:w="1417" w:type="dxa"/>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000000"/>
                <w:sz w:val="22"/>
              </w:rPr>
            </w:pPr>
            <w:r>
              <w:rPr>
                <w:rFonts w:hint="eastAsia"/>
                <w:color w:val="000000"/>
                <w:sz w:val="22"/>
              </w:rPr>
              <w:t>84700</w:t>
            </w:r>
          </w:p>
        </w:tc>
        <w:tc>
          <w:tcPr>
            <w:tcW w:w="1276" w:type="dxa"/>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000000"/>
                <w:sz w:val="22"/>
              </w:rPr>
            </w:pPr>
            <w:r>
              <w:rPr>
                <w:rFonts w:hint="eastAsia"/>
                <w:color w:val="000000"/>
                <w:sz w:val="22"/>
              </w:rPr>
              <w:t>84700</w:t>
            </w:r>
          </w:p>
        </w:tc>
        <w:tc>
          <w:tcPr>
            <w:tcW w:w="1418" w:type="dxa"/>
            <w:noWrap/>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323232"/>
                <w:sz w:val="22"/>
              </w:rPr>
            </w:pPr>
            <w:r>
              <w:rPr>
                <w:rFonts w:hint="eastAsia"/>
                <w:color w:val="323232"/>
                <w:sz w:val="22"/>
              </w:rPr>
              <w:t>0</w:t>
            </w:r>
          </w:p>
        </w:tc>
      </w:tr>
      <w:tr w:rsidR="001F3B45" w:rsidRPr="00EF0A82" w:rsidTr="00023451">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149" w:type="dxa"/>
            <w:tcBorders>
              <w:left w:val="none" w:sz="0" w:space="0" w:color="auto"/>
              <w:right w:val="none" w:sz="0" w:space="0" w:color="auto"/>
            </w:tcBorders>
            <w:vAlign w:val="center"/>
            <w:hideMark/>
          </w:tcPr>
          <w:p w:rsidR="001F3B45" w:rsidRPr="00FC6568" w:rsidRDefault="001F3B45" w:rsidP="00FC6568">
            <w:pPr>
              <w:spacing w:line="360" w:lineRule="auto"/>
              <w:jc w:val="center"/>
              <w:rPr>
                <w:rFonts w:hint="eastAsia"/>
                <w:b w:val="0"/>
                <w:color w:val="000000"/>
                <w:sz w:val="22"/>
              </w:rPr>
            </w:pPr>
            <w:r w:rsidRPr="00FC6568">
              <w:rPr>
                <w:rFonts w:hint="eastAsia"/>
                <w:b w:val="0"/>
                <w:color w:val="000000"/>
                <w:sz w:val="22"/>
              </w:rPr>
              <w:t>出厂价</w:t>
            </w:r>
          </w:p>
        </w:tc>
        <w:tc>
          <w:tcPr>
            <w:tcW w:w="984" w:type="dxa"/>
            <w:tcBorders>
              <w:left w:val="none" w:sz="0" w:space="0" w:color="auto"/>
              <w:right w:val="none" w:sz="0" w:space="0" w:color="auto"/>
            </w:tcBorders>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电池级</w:t>
            </w:r>
          </w:p>
        </w:tc>
        <w:tc>
          <w:tcPr>
            <w:tcW w:w="1568" w:type="dxa"/>
            <w:tcBorders>
              <w:left w:val="none" w:sz="0" w:space="0" w:color="auto"/>
              <w:right w:val="none" w:sz="0" w:space="0" w:color="auto"/>
            </w:tcBorders>
            <w:noWrap/>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 xml:space="preserve">山西北斗星 </w:t>
            </w:r>
          </w:p>
        </w:tc>
        <w:tc>
          <w:tcPr>
            <w:tcW w:w="1417" w:type="dxa"/>
            <w:tcBorders>
              <w:left w:val="none" w:sz="0" w:space="0" w:color="auto"/>
              <w:right w:val="none" w:sz="0" w:space="0" w:color="auto"/>
            </w:tcBorders>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100000</w:t>
            </w:r>
          </w:p>
        </w:tc>
        <w:tc>
          <w:tcPr>
            <w:tcW w:w="1276" w:type="dxa"/>
            <w:tcBorders>
              <w:left w:val="none" w:sz="0" w:space="0" w:color="auto"/>
              <w:right w:val="none" w:sz="0" w:space="0" w:color="auto"/>
            </w:tcBorders>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100000</w:t>
            </w:r>
          </w:p>
        </w:tc>
        <w:tc>
          <w:tcPr>
            <w:tcW w:w="1418" w:type="dxa"/>
            <w:tcBorders>
              <w:left w:val="none" w:sz="0" w:space="0" w:color="auto"/>
              <w:right w:val="none" w:sz="0" w:space="0" w:color="auto"/>
            </w:tcBorders>
            <w:noWrap/>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323232"/>
                <w:sz w:val="22"/>
              </w:rPr>
            </w:pPr>
            <w:r>
              <w:rPr>
                <w:rFonts w:hint="eastAsia"/>
                <w:color w:val="323232"/>
                <w:sz w:val="22"/>
              </w:rPr>
              <w:t>0</w:t>
            </w:r>
          </w:p>
        </w:tc>
      </w:tr>
      <w:tr w:rsidR="001F3B45" w:rsidRPr="00EF0A82" w:rsidTr="00023451">
        <w:trPr>
          <w:trHeight w:val="270"/>
        </w:trPr>
        <w:tc>
          <w:tcPr>
            <w:cnfStyle w:val="001000000000" w:firstRow="0" w:lastRow="0" w:firstColumn="1" w:lastColumn="0" w:oddVBand="0" w:evenVBand="0" w:oddHBand="0" w:evenHBand="0" w:firstRowFirstColumn="0" w:firstRowLastColumn="0" w:lastRowFirstColumn="0" w:lastRowLastColumn="0"/>
            <w:tcW w:w="1149" w:type="dxa"/>
            <w:vAlign w:val="center"/>
            <w:hideMark/>
          </w:tcPr>
          <w:p w:rsidR="001F3B45" w:rsidRPr="00FC6568" w:rsidRDefault="001F3B45" w:rsidP="00FC6568">
            <w:pPr>
              <w:spacing w:line="360" w:lineRule="auto"/>
              <w:jc w:val="center"/>
              <w:rPr>
                <w:rFonts w:hint="eastAsia"/>
                <w:b w:val="0"/>
                <w:color w:val="000000"/>
                <w:sz w:val="22"/>
              </w:rPr>
            </w:pPr>
            <w:r w:rsidRPr="00FC6568">
              <w:rPr>
                <w:rFonts w:hint="eastAsia"/>
                <w:b w:val="0"/>
                <w:color w:val="000000"/>
                <w:sz w:val="22"/>
              </w:rPr>
              <w:t>市场价</w:t>
            </w:r>
          </w:p>
        </w:tc>
        <w:tc>
          <w:tcPr>
            <w:tcW w:w="984" w:type="dxa"/>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000000"/>
                <w:sz w:val="22"/>
              </w:rPr>
            </w:pPr>
            <w:r>
              <w:rPr>
                <w:rFonts w:hint="eastAsia"/>
                <w:color w:val="000000"/>
                <w:sz w:val="22"/>
              </w:rPr>
              <w:t>工业级</w:t>
            </w:r>
          </w:p>
        </w:tc>
        <w:tc>
          <w:tcPr>
            <w:tcW w:w="1568" w:type="dxa"/>
            <w:noWrap/>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000000"/>
                <w:sz w:val="22"/>
              </w:rPr>
            </w:pPr>
            <w:r>
              <w:rPr>
                <w:rFonts w:hint="eastAsia"/>
                <w:color w:val="000000"/>
                <w:sz w:val="22"/>
              </w:rPr>
              <w:t xml:space="preserve">上海昕狮 </w:t>
            </w:r>
          </w:p>
        </w:tc>
        <w:tc>
          <w:tcPr>
            <w:tcW w:w="1417" w:type="dxa"/>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000000"/>
                <w:sz w:val="22"/>
              </w:rPr>
            </w:pPr>
            <w:r>
              <w:rPr>
                <w:rFonts w:hint="eastAsia"/>
                <w:color w:val="000000"/>
                <w:sz w:val="22"/>
              </w:rPr>
              <w:t>80000</w:t>
            </w:r>
          </w:p>
        </w:tc>
        <w:tc>
          <w:tcPr>
            <w:tcW w:w="1276" w:type="dxa"/>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000000"/>
                <w:sz w:val="22"/>
              </w:rPr>
            </w:pPr>
            <w:r>
              <w:rPr>
                <w:rFonts w:hint="eastAsia"/>
                <w:color w:val="000000"/>
                <w:sz w:val="22"/>
              </w:rPr>
              <w:t>80000</w:t>
            </w:r>
          </w:p>
        </w:tc>
        <w:tc>
          <w:tcPr>
            <w:tcW w:w="1418" w:type="dxa"/>
            <w:noWrap/>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323232"/>
                <w:sz w:val="22"/>
              </w:rPr>
            </w:pPr>
            <w:r>
              <w:rPr>
                <w:rFonts w:hint="eastAsia"/>
                <w:color w:val="323232"/>
                <w:sz w:val="22"/>
              </w:rPr>
              <w:t>0</w:t>
            </w:r>
          </w:p>
        </w:tc>
      </w:tr>
      <w:tr w:rsidR="001F3B45" w:rsidRPr="00EF0A82" w:rsidTr="00023451">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149" w:type="dxa"/>
            <w:tcBorders>
              <w:left w:val="none" w:sz="0" w:space="0" w:color="auto"/>
              <w:right w:val="none" w:sz="0" w:space="0" w:color="auto"/>
            </w:tcBorders>
            <w:vAlign w:val="center"/>
            <w:hideMark/>
          </w:tcPr>
          <w:p w:rsidR="001F3B45" w:rsidRPr="00FC6568" w:rsidRDefault="001F3B45" w:rsidP="00FC6568">
            <w:pPr>
              <w:spacing w:line="360" w:lineRule="auto"/>
              <w:jc w:val="center"/>
              <w:rPr>
                <w:rFonts w:hint="eastAsia"/>
                <w:b w:val="0"/>
                <w:color w:val="000000"/>
                <w:sz w:val="22"/>
              </w:rPr>
            </w:pPr>
            <w:r w:rsidRPr="00FC6568">
              <w:rPr>
                <w:rFonts w:hint="eastAsia"/>
                <w:b w:val="0"/>
                <w:color w:val="000000"/>
                <w:sz w:val="22"/>
              </w:rPr>
              <w:t>出厂价</w:t>
            </w:r>
          </w:p>
        </w:tc>
        <w:tc>
          <w:tcPr>
            <w:tcW w:w="984" w:type="dxa"/>
            <w:tcBorders>
              <w:left w:val="none" w:sz="0" w:space="0" w:color="auto"/>
              <w:right w:val="none" w:sz="0" w:space="0" w:color="auto"/>
            </w:tcBorders>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工业级</w:t>
            </w:r>
          </w:p>
        </w:tc>
        <w:tc>
          <w:tcPr>
            <w:tcW w:w="1568" w:type="dxa"/>
            <w:tcBorders>
              <w:left w:val="none" w:sz="0" w:space="0" w:color="auto"/>
              <w:right w:val="none" w:sz="0" w:space="0" w:color="auto"/>
            </w:tcBorders>
            <w:noWrap/>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 xml:space="preserve">自贡同发荣 </w:t>
            </w:r>
          </w:p>
        </w:tc>
        <w:tc>
          <w:tcPr>
            <w:tcW w:w="1417" w:type="dxa"/>
            <w:tcBorders>
              <w:left w:val="none" w:sz="0" w:space="0" w:color="auto"/>
              <w:right w:val="none" w:sz="0" w:space="0" w:color="auto"/>
            </w:tcBorders>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74500</w:t>
            </w:r>
          </w:p>
        </w:tc>
        <w:tc>
          <w:tcPr>
            <w:tcW w:w="1276" w:type="dxa"/>
            <w:tcBorders>
              <w:left w:val="none" w:sz="0" w:space="0" w:color="auto"/>
              <w:right w:val="none" w:sz="0" w:space="0" w:color="auto"/>
            </w:tcBorders>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74500</w:t>
            </w:r>
          </w:p>
        </w:tc>
        <w:tc>
          <w:tcPr>
            <w:tcW w:w="1418" w:type="dxa"/>
            <w:tcBorders>
              <w:left w:val="none" w:sz="0" w:space="0" w:color="auto"/>
              <w:right w:val="none" w:sz="0" w:space="0" w:color="auto"/>
            </w:tcBorders>
            <w:noWrap/>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323232"/>
                <w:sz w:val="22"/>
              </w:rPr>
            </w:pPr>
            <w:r>
              <w:rPr>
                <w:rFonts w:hint="eastAsia"/>
                <w:color w:val="323232"/>
                <w:sz w:val="22"/>
              </w:rPr>
              <w:t>0</w:t>
            </w:r>
          </w:p>
        </w:tc>
      </w:tr>
      <w:tr w:rsidR="001F3B45" w:rsidRPr="00EF0A82" w:rsidTr="00023451">
        <w:trPr>
          <w:trHeight w:val="270"/>
        </w:trPr>
        <w:tc>
          <w:tcPr>
            <w:cnfStyle w:val="001000000000" w:firstRow="0" w:lastRow="0" w:firstColumn="1" w:lastColumn="0" w:oddVBand="0" w:evenVBand="0" w:oddHBand="0" w:evenHBand="0" w:firstRowFirstColumn="0" w:firstRowLastColumn="0" w:lastRowFirstColumn="0" w:lastRowLastColumn="0"/>
            <w:tcW w:w="1149" w:type="dxa"/>
            <w:vAlign w:val="center"/>
            <w:hideMark/>
          </w:tcPr>
          <w:p w:rsidR="001F3B45" w:rsidRPr="00FC6568" w:rsidRDefault="001F3B45" w:rsidP="00FC6568">
            <w:pPr>
              <w:spacing w:line="360" w:lineRule="auto"/>
              <w:jc w:val="center"/>
              <w:rPr>
                <w:rFonts w:hint="eastAsia"/>
                <w:b w:val="0"/>
                <w:color w:val="000000"/>
                <w:sz w:val="22"/>
              </w:rPr>
            </w:pPr>
            <w:r w:rsidRPr="00FC6568">
              <w:rPr>
                <w:rFonts w:hint="eastAsia"/>
                <w:b w:val="0"/>
                <w:color w:val="000000"/>
                <w:sz w:val="22"/>
              </w:rPr>
              <w:t>出厂价</w:t>
            </w:r>
          </w:p>
        </w:tc>
        <w:tc>
          <w:tcPr>
            <w:tcW w:w="984" w:type="dxa"/>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000000"/>
                <w:sz w:val="22"/>
              </w:rPr>
            </w:pPr>
            <w:r>
              <w:rPr>
                <w:rFonts w:hint="eastAsia"/>
                <w:color w:val="000000"/>
                <w:sz w:val="22"/>
              </w:rPr>
              <w:t>工业级</w:t>
            </w:r>
          </w:p>
        </w:tc>
        <w:tc>
          <w:tcPr>
            <w:tcW w:w="1568" w:type="dxa"/>
            <w:noWrap/>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000000"/>
                <w:sz w:val="22"/>
              </w:rPr>
            </w:pPr>
            <w:r>
              <w:rPr>
                <w:rFonts w:hint="eastAsia"/>
                <w:color w:val="000000"/>
                <w:sz w:val="22"/>
              </w:rPr>
              <w:t xml:space="preserve">山西北斗星 </w:t>
            </w:r>
          </w:p>
        </w:tc>
        <w:tc>
          <w:tcPr>
            <w:tcW w:w="1417" w:type="dxa"/>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000000"/>
                <w:sz w:val="22"/>
              </w:rPr>
            </w:pPr>
            <w:r>
              <w:rPr>
                <w:rFonts w:hint="eastAsia"/>
                <w:color w:val="000000"/>
                <w:sz w:val="22"/>
              </w:rPr>
              <w:t>85000</w:t>
            </w:r>
          </w:p>
        </w:tc>
        <w:tc>
          <w:tcPr>
            <w:tcW w:w="1276" w:type="dxa"/>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000000"/>
                <w:sz w:val="22"/>
              </w:rPr>
            </w:pPr>
            <w:r>
              <w:rPr>
                <w:rFonts w:hint="eastAsia"/>
                <w:color w:val="000000"/>
                <w:sz w:val="22"/>
              </w:rPr>
              <w:t>85000</w:t>
            </w:r>
          </w:p>
        </w:tc>
        <w:tc>
          <w:tcPr>
            <w:tcW w:w="1418" w:type="dxa"/>
            <w:noWrap/>
            <w:vAlign w:val="center"/>
            <w:hideMark/>
          </w:tcPr>
          <w:p w:rsidR="001F3B45" w:rsidRDefault="001F3B45" w:rsidP="00FC6568">
            <w:pPr>
              <w:spacing w:line="360" w:lineRule="auto"/>
              <w:jc w:val="center"/>
              <w:cnfStyle w:val="000000000000" w:firstRow="0" w:lastRow="0" w:firstColumn="0" w:lastColumn="0" w:oddVBand="0" w:evenVBand="0" w:oddHBand="0" w:evenHBand="0" w:firstRowFirstColumn="0" w:firstRowLastColumn="0" w:lastRowFirstColumn="0" w:lastRowLastColumn="0"/>
              <w:rPr>
                <w:rFonts w:hint="eastAsia"/>
                <w:color w:val="323232"/>
                <w:sz w:val="22"/>
              </w:rPr>
            </w:pPr>
            <w:r>
              <w:rPr>
                <w:rFonts w:hint="eastAsia"/>
                <w:color w:val="323232"/>
                <w:sz w:val="22"/>
              </w:rPr>
              <w:t>0</w:t>
            </w:r>
          </w:p>
        </w:tc>
      </w:tr>
      <w:tr w:rsidR="001F3B45" w:rsidRPr="00EF0A82" w:rsidTr="00023451">
        <w:trPr>
          <w:cnfStyle w:val="000000100000" w:firstRow="0" w:lastRow="0" w:firstColumn="0" w:lastColumn="0" w:oddVBand="0" w:evenVBand="0" w:oddHBand="1" w:evenHBand="0" w:firstRowFirstColumn="0" w:firstRowLastColumn="0" w:lastRowFirstColumn="0" w:lastRowLastColumn="0"/>
          <w:trHeight w:val="487"/>
        </w:trPr>
        <w:tc>
          <w:tcPr>
            <w:cnfStyle w:val="001000000000" w:firstRow="0" w:lastRow="0" w:firstColumn="1" w:lastColumn="0" w:oddVBand="0" w:evenVBand="0" w:oddHBand="0" w:evenHBand="0" w:firstRowFirstColumn="0" w:firstRowLastColumn="0" w:lastRowFirstColumn="0" w:lastRowLastColumn="0"/>
            <w:tcW w:w="1149" w:type="dxa"/>
            <w:tcBorders>
              <w:left w:val="none" w:sz="0" w:space="0" w:color="auto"/>
              <w:right w:val="none" w:sz="0" w:space="0" w:color="auto"/>
            </w:tcBorders>
            <w:vAlign w:val="center"/>
            <w:hideMark/>
          </w:tcPr>
          <w:p w:rsidR="001F3B45" w:rsidRPr="00FC6568" w:rsidRDefault="001F3B45" w:rsidP="00FC6568">
            <w:pPr>
              <w:spacing w:line="360" w:lineRule="auto"/>
              <w:jc w:val="center"/>
              <w:rPr>
                <w:rFonts w:hint="eastAsia"/>
                <w:b w:val="0"/>
                <w:color w:val="000000"/>
                <w:sz w:val="22"/>
              </w:rPr>
            </w:pPr>
            <w:r w:rsidRPr="00FC6568">
              <w:rPr>
                <w:rFonts w:hint="eastAsia"/>
                <w:b w:val="0"/>
                <w:color w:val="000000"/>
                <w:sz w:val="22"/>
              </w:rPr>
              <w:t>出厂价</w:t>
            </w:r>
          </w:p>
        </w:tc>
        <w:tc>
          <w:tcPr>
            <w:tcW w:w="984" w:type="dxa"/>
            <w:tcBorders>
              <w:left w:val="none" w:sz="0" w:space="0" w:color="auto"/>
              <w:right w:val="none" w:sz="0" w:space="0" w:color="auto"/>
            </w:tcBorders>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工业级</w:t>
            </w:r>
          </w:p>
        </w:tc>
        <w:tc>
          <w:tcPr>
            <w:tcW w:w="1568" w:type="dxa"/>
            <w:tcBorders>
              <w:left w:val="none" w:sz="0" w:space="0" w:color="auto"/>
              <w:right w:val="none" w:sz="0" w:space="0" w:color="auto"/>
            </w:tcBorders>
            <w:noWrap/>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 xml:space="preserve">江西云锂 </w:t>
            </w:r>
          </w:p>
        </w:tc>
        <w:tc>
          <w:tcPr>
            <w:tcW w:w="1417" w:type="dxa"/>
            <w:tcBorders>
              <w:left w:val="none" w:sz="0" w:space="0" w:color="auto"/>
              <w:right w:val="none" w:sz="0" w:space="0" w:color="auto"/>
            </w:tcBorders>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80000</w:t>
            </w:r>
          </w:p>
        </w:tc>
        <w:tc>
          <w:tcPr>
            <w:tcW w:w="1276" w:type="dxa"/>
            <w:tcBorders>
              <w:left w:val="none" w:sz="0" w:space="0" w:color="auto"/>
              <w:right w:val="none" w:sz="0" w:space="0" w:color="auto"/>
            </w:tcBorders>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000000"/>
                <w:sz w:val="22"/>
              </w:rPr>
            </w:pPr>
            <w:r>
              <w:rPr>
                <w:rFonts w:hint="eastAsia"/>
                <w:color w:val="000000"/>
                <w:sz w:val="22"/>
              </w:rPr>
              <w:t>80000</w:t>
            </w:r>
          </w:p>
        </w:tc>
        <w:tc>
          <w:tcPr>
            <w:tcW w:w="1418" w:type="dxa"/>
            <w:tcBorders>
              <w:left w:val="none" w:sz="0" w:space="0" w:color="auto"/>
              <w:right w:val="none" w:sz="0" w:space="0" w:color="auto"/>
            </w:tcBorders>
            <w:noWrap/>
            <w:vAlign w:val="center"/>
            <w:hideMark/>
          </w:tcPr>
          <w:p w:rsidR="001F3B45" w:rsidRDefault="001F3B45" w:rsidP="00FC6568">
            <w:pPr>
              <w:spacing w:line="360" w:lineRule="auto"/>
              <w:jc w:val="center"/>
              <w:cnfStyle w:val="000000100000" w:firstRow="0" w:lastRow="0" w:firstColumn="0" w:lastColumn="0" w:oddVBand="0" w:evenVBand="0" w:oddHBand="1" w:evenHBand="0" w:firstRowFirstColumn="0" w:firstRowLastColumn="0" w:lastRowFirstColumn="0" w:lastRowLastColumn="0"/>
              <w:rPr>
                <w:rFonts w:hint="eastAsia"/>
                <w:color w:val="323232"/>
                <w:sz w:val="22"/>
              </w:rPr>
            </w:pPr>
            <w:r>
              <w:rPr>
                <w:rFonts w:hint="eastAsia"/>
                <w:color w:val="323232"/>
                <w:sz w:val="22"/>
              </w:rPr>
              <w:t>0</w:t>
            </w:r>
          </w:p>
        </w:tc>
      </w:tr>
    </w:tbl>
    <w:p w:rsidR="00EF0A82" w:rsidRDefault="00EF0A82" w:rsidP="000B33C0">
      <w:pPr>
        <w:spacing w:line="360" w:lineRule="auto"/>
      </w:pPr>
    </w:p>
    <w:p w:rsidR="00E401EE" w:rsidRDefault="00E401EE" w:rsidP="000B33C0">
      <w:pPr>
        <w:spacing w:line="360" w:lineRule="auto"/>
      </w:pPr>
    </w:p>
    <w:p w:rsidR="00E401EE" w:rsidRDefault="00E401EE" w:rsidP="000B33C0">
      <w:pPr>
        <w:spacing w:line="360" w:lineRule="auto"/>
      </w:pPr>
    </w:p>
    <w:p w:rsidR="00E401EE" w:rsidRDefault="00E401EE" w:rsidP="000B33C0">
      <w:pPr>
        <w:spacing w:line="360" w:lineRule="auto"/>
      </w:pPr>
    </w:p>
    <w:p w:rsidR="00E401EE" w:rsidRDefault="00E401EE" w:rsidP="000B33C0">
      <w:pPr>
        <w:spacing w:line="360" w:lineRule="auto"/>
      </w:pPr>
    </w:p>
    <w:p w:rsidR="00E401EE" w:rsidRDefault="00E401EE" w:rsidP="000B33C0">
      <w:pPr>
        <w:spacing w:line="360" w:lineRule="auto"/>
      </w:pPr>
    </w:p>
    <w:p w:rsidR="00E401EE" w:rsidRDefault="00E401EE" w:rsidP="000B33C0">
      <w:pPr>
        <w:spacing w:line="360" w:lineRule="auto"/>
      </w:pPr>
    </w:p>
    <w:p w:rsidR="00E401EE" w:rsidRDefault="00E401EE" w:rsidP="000B33C0">
      <w:pPr>
        <w:spacing w:line="360" w:lineRule="auto"/>
      </w:pPr>
    </w:p>
    <w:p w:rsidR="00E401EE" w:rsidRDefault="00E401EE" w:rsidP="000B33C0">
      <w:pPr>
        <w:spacing w:line="360" w:lineRule="auto"/>
      </w:pPr>
    </w:p>
    <w:p w:rsidR="00E401EE" w:rsidRDefault="00E401EE" w:rsidP="000B33C0">
      <w:pPr>
        <w:spacing w:line="360" w:lineRule="auto"/>
      </w:pPr>
    </w:p>
    <w:p w:rsidR="00E401EE" w:rsidRDefault="00E401EE" w:rsidP="000B33C0">
      <w:pPr>
        <w:spacing w:line="360" w:lineRule="auto"/>
      </w:pPr>
    </w:p>
    <w:p w:rsidR="00E401EE" w:rsidRDefault="00E401EE" w:rsidP="000B33C0">
      <w:pPr>
        <w:spacing w:line="360" w:lineRule="auto"/>
      </w:pPr>
    </w:p>
    <w:p w:rsidR="00E401EE" w:rsidRDefault="00E401EE" w:rsidP="000B33C0">
      <w:pPr>
        <w:spacing w:line="360" w:lineRule="auto"/>
        <w:rPr>
          <w:rFonts w:hint="eastAsia"/>
        </w:rPr>
      </w:pPr>
    </w:p>
    <w:p w:rsidR="00901157" w:rsidRDefault="00901157" w:rsidP="00901157">
      <w:pPr>
        <w:pStyle w:val="ac"/>
        <w:rPr>
          <w:rFonts w:asciiTheme="minorEastAsia" w:eastAsiaTheme="minorEastAsia" w:hAnsiTheme="minorEastAsia"/>
          <w:b/>
          <w:sz w:val="28"/>
        </w:rPr>
      </w:pPr>
      <w:r w:rsidRPr="00901157">
        <w:rPr>
          <w:rFonts w:asciiTheme="minorEastAsia" w:eastAsiaTheme="minorEastAsia" w:hAnsiTheme="minorEastAsia" w:hint="eastAsia"/>
          <w:b/>
          <w:sz w:val="28"/>
        </w:rPr>
        <w:lastRenderedPageBreak/>
        <w:t>碳酸锂报价比较图：</w:t>
      </w:r>
    </w:p>
    <w:p w:rsidR="002508E9" w:rsidRPr="002508E9" w:rsidRDefault="002508E9" w:rsidP="002508E9"/>
    <w:p w:rsidR="00845201" w:rsidRDefault="00FC6568" w:rsidP="000B33C0">
      <w:pPr>
        <w:spacing w:line="360" w:lineRule="auto"/>
      </w:pPr>
      <w:r>
        <w:rPr>
          <w:noProof/>
        </w:rPr>
        <w:drawing>
          <wp:inline distT="0" distB="0" distL="0" distR="0" wp14:anchorId="27DBF636" wp14:editId="2D67C9CC">
            <wp:extent cx="5278120" cy="4476750"/>
            <wp:effectExtent l="0" t="0" r="17780" b="0"/>
            <wp:docPr id="2" name="图表 2">
              <a:extLst xmlns:a="http://schemas.openxmlformats.org/drawingml/2006/main">
                <a:ext uri="{FF2B5EF4-FFF2-40B4-BE49-F238E27FC236}">
                  <a16:creationId xmlns:a16="http://schemas.microsoft.com/office/drawing/2014/main" id="{00000000-0008-0000-02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F52B96" w:rsidRDefault="00F52B96" w:rsidP="000B33C0">
      <w:pPr>
        <w:spacing w:line="360" w:lineRule="auto"/>
      </w:pPr>
    </w:p>
    <w:p w:rsidR="00F52B96" w:rsidRDefault="00F52B96" w:rsidP="000B33C0">
      <w:pPr>
        <w:spacing w:line="360" w:lineRule="auto"/>
      </w:pPr>
    </w:p>
    <w:p w:rsidR="00F52B96" w:rsidRDefault="00F52B96" w:rsidP="000B33C0">
      <w:pPr>
        <w:spacing w:line="360" w:lineRule="auto"/>
      </w:pPr>
    </w:p>
    <w:p w:rsidR="00E401EE" w:rsidRDefault="00E401EE" w:rsidP="000B33C0">
      <w:pPr>
        <w:spacing w:line="360" w:lineRule="auto"/>
      </w:pPr>
    </w:p>
    <w:p w:rsidR="00E401EE" w:rsidRDefault="00E401EE" w:rsidP="000B33C0">
      <w:pPr>
        <w:spacing w:line="360" w:lineRule="auto"/>
      </w:pPr>
    </w:p>
    <w:p w:rsidR="00E401EE" w:rsidRDefault="00E401EE" w:rsidP="000B33C0">
      <w:pPr>
        <w:spacing w:line="360" w:lineRule="auto"/>
      </w:pPr>
    </w:p>
    <w:p w:rsidR="00E401EE" w:rsidRDefault="00E401EE" w:rsidP="000B33C0">
      <w:pPr>
        <w:spacing w:line="360" w:lineRule="auto"/>
        <w:rPr>
          <w:rFonts w:hint="eastAsia"/>
        </w:rPr>
      </w:pPr>
    </w:p>
    <w:p w:rsidR="00F52B96" w:rsidRDefault="00F52B96" w:rsidP="000B33C0">
      <w:pPr>
        <w:spacing w:line="360" w:lineRule="auto"/>
      </w:pPr>
    </w:p>
    <w:p w:rsidR="00F52B96" w:rsidRDefault="00F52B96" w:rsidP="000B33C0">
      <w:pPr>
        <w:spacing w:line="360" w:lineRule="auto"/>
      </w:pPr>
    </w:p>
    <w:p w:rsidR="00F52B96" w:rsidRDefault="00F52B96" w:rsidP="000B33C0">
      <w:pPr>
        <w:spacing w:line="360" w:lineRule="auto"/>
      </w:pPr>
    </w:p>
    <w:p w:rsidR="000B33C0" w:rsidRDefault="000B33C0" w:rsidP="000B33C0">
      <w:pPr>
        <w:numPr>
          <w:ilvl w:val="0"/>
          <w:numId w:val="2"/>
        </w:numPr>
        <w:rPr>
          <w:rFonts w:cs="宋体"/>
          <w:b/>
          <w:color w:val="04005E"/>
          <w:sz w:val="36"/>
          <w:szCs w:val="36"/>
        </w:rPr>
      </w:pPr>
      <w:r>
        <w:rPr>
          <w:rFonts w:cs="宋体" w:hint="eastAsia"/>
          <w:b/>
          <w:sz w:val="28"/>
          <w:szCs w:val="28"/>
        </w:rPr>
        <w:t>生意社碳酸锂商品指数</w:t>
      </w:r>
    </w:p>
    <w:p w:rsidR="000B33C0" w:rsidRDefault="000B33C0" w:rsidP="000B33C0"/>
    <w:p w:rsidR="00390F94" w:rsidRDefault="00390F94" w:rsidP="000B33C0">
      <w:pPr>
        <w:rPr>
          <w:b/>
          <w:sz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
        <w:gridCol w:w="855"/>
        <w:gridCol w:w="855"/>
        <w:gridCol w:w="855"/>
        <w:gridCol w:w="855"/>
        <w:gridCol w:w="855"/>
        <w:gridCol w:w="855"/>
        <w:gridCol w:w="855"/>
        <w:gridCol w:w="855"/>
        <w:gridCol w:w="855"/>
        <w:gridCol w:w="876"/>
      </w:tblGrid>
      <w:tr w:rsidR="000D6012" w:rsidRPr="00B9170B" w:rsidTr="0024615C">
        <w:trPr>
          <w:trHeight w:val="532"/>
        </w:trPr>
        <w:tc>
          <w:tcPr>
            <w:tcW w:w="0" w:type="auto"/>
            <w:shd w:val="clear" w:color="auto" w:fill="auto"/>
            <w:vAlign w:val="center"/>
            <w:hideMark/>
          </w:tcPr>
          <w:p w:rsidR="000D6012" w:rsidRDefault="000D6012" w:rsidP="000D6012">
            <w:pPr>
              <w:widowControl/>
              <w:jc w:val="center"/>
              <w:rPr>
                <w:rFonts w:ascii="&amp;quot" w:hAnsi="&amp;quot"/>
                <w:color w:val="000000"/>
                <w:sz w:val="18"/>
                <w:szCs w:val="18"/>
              </w:rPr>
            </w:pPr>
            <w:r>
              <w:rPr>
                <w:rFonts w:ascii="&amp;quot" w:hAnsi="&amp;quot"/>
                <w:color w:val="000000"/>
                <w:sz w:val="18"/>
                <w:szCs w:val="18"/>
              </w:rPr>
              <w:t>日期</w:t>
            </w:r>
          </w:p>
        </w:tc>
        <w:tc>
          <w:tcPr>
            <w:tcW w:w="0" w:type="auto"/>
            <w:shd w:val="clear" w:color="auto" w:fill="auto"/>
            <w:vAlign w:val="center"/>
            <w:hideMark/>
          </w:tcPr>
          <w:p w:rsidR="000D6012" w:rsidRDefault="000D6012" w:rsidP="000D6012">
            <w:pPr>
              <w:widowControl/>
              <w:jc w:val="center"/>
              <w:rPr>
                <w:rFonts w:ascii="&amp;quot" w:hAnsi="&amp;quot"/>
                <w:color w:val="000000"/>
                <w:sz w:val="18"/>
                <w:szCs w:val="18"/>
              </w:rPr>
            </w:pPr>
            <w:r>
              <w:rPr>
                <w:rFonts w:ascii="&amp;quot" w:hAnsi="&amp;quot"/>
                <w:color w:val="000000"/>
                <w:sz w:val="18"/>
                <w:szCs w:val="18"/>
              </w:rPr>
              <w:t>09-27</w:t>
            </w:r>
          </w:p>
        </w:tc>
        <w:tc>
          <w:tcPr>
            <w:tcW w:w="0" w:type="auto"/>
            <w:shd w:val="clear" w:color="auto" w:fill="auto"/>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10-06</w:t>
            </w:r>
          </w:p>
        </w:tc>
        <w:tc>
          <w:tcPr>
            <w:tcW w:w="0" w:type="auto"/>
            <w:shd w:val="clear" w:color="auto" w:fill="auto"/>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10-15</w:t>
            </w:r>
          </w:p>
        </w:tc>
        <w:tc>
          <w:tcPr>
            <w:tcW w:w="0" w:type="auto"/>
            <w:shd w:val="clear" w:color="auto" w:fill="auto"/>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10-24</w:t>
            </w:r>
          </w:p>
        </w:tc>
        <w:tc>
          <w:tcPr>
            <w:tcW w:w="0" w:type="auto"/>
            <w:shd w:val="clear" w:color="auto" w:fill="auto"/>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11-02</w:t>
            </w:r>
          </w:p>
        </w:tc>
        <w:tc>
          <w:tcPr>
            <w:tcW w:w="0" w:type="auto"/>
            <w:shd w:val="clear" w:color="auto" w:fill="auto"/>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11-11</w:t>
            </w:r>
          </w:p>
        </w:tc>
        <w:tc>
          <w:tcPr>
            <w:tcW w:w="0" w:type="auto"/>
            <w:shd w:val="clear" w:color="auto" w:fill="auto"/>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11-20</w:t>
            </w:r>
          </w:p>
        </w:tc>
        <w:tc>
          <w:tcPr>
            <w:tcW w:w="0" w:type="auto"/>
            <w:shd w:val="clear" w:color="auto" w:fill="auto"/>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11-29</w:t>
            </w:r>
          </w:p>
        </w:tc>
        <w:tc>
          <w:tcPr>
            <w:tcW w:w="0" w:type="auto"/>
            <w:shd w:val="clear" w:color="auto" w:fill="auto"/>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12-08</w:t>
            </w:r>
          </w:p>
        </w:tc>
        <w:tc>
          <w:tcPr>
            <w:tcW w:w="876" w:type="dxa"/>
            <w:shd w:val="clear" w:color="auto" w:fill="auto"/>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12-16</w:t>
            </w:r>
          </w:p>
        </w:tc>
      </w:tr>
      <w:tr w:rsidR="000D6012" w:rsidRPr="00B9170B" w:rsidTr="0024615C">
        <w:trPr>
          <w:trHeight w:val="532"/>
        </w:trPr>
        <w:tc>
          <w:tcPr>
            <w:tcW w:w="0" w:type="auto"/>
            <w:shd w:val="clear" w:color="000000" w:fill="E6EED5"/>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商品指数</w:t>
            </w:r>
          </w:p>
        </w:tc>
        <w:tc>
          <w:tcPr>
            <w:tcW w:w="0" w:type="auto"/>
            <w:shd w:val="clear" w:color="000000" w:fill="E6EED5"/>
            <w:vAlign w:val="center"/>
            <w:hideMark/>
          </w:tcPr>
          <w:p w:rsidR="000D6012" w:rsidRDefault="000D6012" w:rsidP="000D6012">
            <w:pPr>
              <w:widowControl/>
              <w:jc w:val="center"/>
              <w:rPr>
                <w:rFonts w:ascii="&amp;quot" w:hAnsi="&amp;quot"/>
                <w:color w:val="000000"/>
                <w:sz w:val="18"/>
                <w:szCs w:val="18"/>
              </w:rPr>
            </w:pPr>
            <w:r>
              <w:rPr>
                <w:rFonts w:ascii="&amp;quot" w:hAnsi="&amp;quot"/>
                <w:color w:val="000000"/>
                <w:sz w:val="18"/>
                <w:szCs w:val="18"/>
              </w:rPr>
              <w:t>197.80</w:t>
            </w:r>
          </w:p>
        </w:tc>
        <w:tc>
          <w:tcPr>
            <w:tcW w:w="0" w:type="auto"/>
            <w:shd w:val="clear" w:color="000000" w:fill="E6EED5"/>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197.80</w:t>
            </w:r>
          </w:p>
        </w:tc>
        <w:tc>
          <w:tcPr>
            <w:tcW w:w="0" w:type="auto"/>
            <w:shd w:val="clear" w:color="000000" w:fill="E6EED5"/>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197.57</w:t>
            </w:r>
          </w:p>
        </w:tc>
        <w:tc>
          <w:tcPr>
            <w:tcW w:w="0" w:type="auto"/>
            <w:shd w:val="clear" w:color="000000" w:fill="E6EED5"/>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196.64</w:t>
            </w:r>
          </w:p>
        </w:tc>
        <w:tc>
          <w:tcPr>
            <w:tcW w:w="0" w:type="auto"/>
            <w:shd w:val="clear" w:color="000000" w:fill="E6EED5"/>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195.95</w:t>
            </w:r>
          </w:p>
        </w:tc>
        <w:tc>
          <w:tcPr>
            <w:tcW w:w="0" w:type="auto"/>
            <w:shd w:val="clear" w:color="000000" w:fill="E6EED5"/>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195.95</w:t>
            </w:r>
          </w:p>
        </w:tc>
        <w:tc>
          <w:tcPr>
            <w:tcW w:w="0" w:type="auto"/>
            <w:shd w:val="clear" w:color="000000" w:fill="E6EED5"/>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195.95</w:t>
            </w:r>
          </w:p>
        </w:tc>
        <w:tc>
          <w:tcPr>
            <w:tcW w:w="0" w:type="auto"/>
            <w:shd w:val="clear" w:color="000000" w:fill="E6EED5"/>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196.18</w:t>
            </w:r>
          </w:p>
        </w:tc>
        <w:tc>
          <w:tcPr>
            <w:tcW w:w="0" w:type="auto"/>
            <w:shd w:val="clear" w:color="000000" w:fill="E6EED5"/>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190.06</w:t>
            </w:r>
          </w:p>
        </w:tc>
        <w:tc>
          <w:tcPr>
            <w:tcW w:w="876" w:type="dxa"/>
            <w:shd w:val="clear" w:color="000000" w:fill="E6EED5"/>
            <w:vAlign w:val="center"/>
            <w:hideMark/>
          </w:tcPr>
          <w:p w:rsidR="000D6012" w:rsidRDefault="000D6012" w:rsidP="000D6012">
            <w:pPr>
              <w:jc w:val="center"/>
              <w:rPr>
                <w:rFonts w:ascii="&amp;quot" w:hAnsi="&amp;quot"/>
                <w:color w:val="000000"/>
                <w:sz w:val="18"/>
                <w:szCs w:val="18"/>
              </w:rPr>
            </w:pPr>
            <w:r>
              <w:rPr>
                <w:rFonts w:ascii="&amp;quot" w:hAnsi="&amp;quot"/>
                <w:color w:val="000000"/>
                <w:sz w:val="18"/>
                <w:szCs w:val="18"/>
              </w:rPr>
              <w:t>190.06</w:t>
            </w:r>
          </w:p>
        </w:tc>
      </w:tr>
    </w:tbl>
    <w:p w:rsidR="00170704" w:rsidRDefault="00170704" w:rsidP="000B33C0">
      <w:pPr>
        <w:rPr>
          <w:b/>
          <w:sz w:val="22"/>
        </w:rPr>
      </w:pPr>
    </w:p>
    <w:p w:rsidR="006E15E5" w:rsidRDefault="006E15E5" w:rsidP="000B33C0">
      <w:pPr>
        <w:rPr>
          <w:rFonts w:hint="eastAsia"/>
          <w:b/>
          <w:sz w:val="22"/>
        </w:rPr>
      </w:pPr>
    </w:p>
    <w:p w:rsidR="006E15E5" w:rsidRDefault="006E15E5" w:rsidP="000B33C0">
      <w:pPr>
        <w:rPr>
          <w:b/>
          <w:sz w:val="22"/>
        </w:rPr>
      </w:pPr>
    </w:p>
    <w:p w:rsidR="000B33C0" w:rsidRDefault="000B33C0" w:rsidP="000B33C0">
      <w:pPr>
        <w:rPr>
          <w:b/>
        </w:rPr>
      </w:pPr>
      <w:r w:rsidRPr="00F52B96">
        <w:rPr>
          <w:rFonts w:hint="eastAsia"/>
          <w:b/>
        </w:rPr>
        <w:t>生意社碳酸锂商品指数图：</w:t>
      </w:r>
    </w:p>
    <w:p w:rsidR="000F74B2" w:rsidRPr="00F52B96" w:rsidRDefault="000F74B2" w:rsidP="000B33C0">
      <w:pPr>
        <w:rPr>
          <w:rFonts w:cs="宋体"/>
          <w:b/>
          <w:color w:val="04005E"/>
          <w:sz w:val="40"/>
          <w:szCs w:val="36"/>
        </w:rPr>
      </w:pPr>
    </w:p>
    <w:p w:rsidR="00700471" w:rsidRDefault="000D6012" w:rsidP="000B33C0">
      <w:pPr>
        <w:rPr>
          <w:rFonts w:cs="宋体"/>
          <w:b/>
          <w:color w:val="04005E"/>
          <w:sz w:val="36"/>
          <w:szCs w:val="36"/>
        </w:rPr>
      </w:pPr>
      <w:r>
        <w:rPr>
          <w:noProof/>
        </w:rPr>
        <w:drawing>
          <wp:inline distT="0" distB="0" distL="0" distR="0" wp14:anchorId="767FAF6E" wp14:editId="79750F5A">
            <wp:extent cx="5278120" cy="2837180"/>
            <wp:effectExtent l="0" t="0" r="17780" b="1270"/>
            <wp:docPr id="6" name="图表 6">
              <a:extLst xmlns:a="http://schemas.openxmlformats.org/drawingml/2006/main">
                <a:ext uri="{FF2B5EF4-FFF2-40B4-BE49-F238E27FC236}">
                  <a16:creationId xmlns:a16="http://schemas.microsoft.com/office/drawing/2014/main" id="{00000000-0008-0000-03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52B96" w:rsidRDefault="00F52B96" w:rsidP="000B33C0">
      <w:pPr>
        <w:widowControl/>
        <w:spacing w:line="360" w:lineRule="auto"/>
        <w:ind w:rightChars="-567" w:right="-1361"/>
        <w:jc w:val="left"/>
        <w:rPr>
          <w:rFonts w:ascii="微软雅黑" w:hAnsi="微软雅黑" w:cs="宋体"/>
          <w:b/>
          <w:kern w:val="0"/>
          <w:sz w:val="28"/>
          <w:szCs w:val="28"/>
        </w:rPr>
      </w:pPr>
    </w:p>
    <w:p w:rsidR="00F52B96" w:rsidRDefault="00F52B96" w:rsidP="000B33C0">
      <w:pPr>
        <w:widowControl/>
        <w:spacing w:line="360" w:lineRule="auto"/>
        <w:ind w:rightChars="-567" w:right="-1361"/>
        <w:jc w:val="left"/>
        <w:rPr>
          <w:rFonts w:ascii="微软雅黑" w:hAnsi="微软雅黑" w:cs="宋体"/>
          <w:b/>
          <w:kern w:val="0"/>
          <w:sz w:val="28"/>
          <w:szCs w:val="28"/>
        </w:rPr>
      </w:pPr>
    </w:p>
    <w:p w:rsidR="00F52B96" w:rsidRDefault="00F52B96" w:rsidP="000B33C0">
      <w:pPr>
        <w:widowControl/>
        <w:spacing w:line="360" w:lineRule="auto"/>
        <w:ind w:rightChars="-567" w:right="-1361"/>
        <w:jc w:val="left"/>
        <w:rPr>
          <w:rFonts w:ascii="微软雅黑" w:hAnsi="微软雅黑" w:cs="宋体"/>
          <w:b/>
          <w:kern w:val="0"/>
          <w:sz w:val="28"/>
          <w:szCs w:val="28"/>
        </w:rPr>
      </w:pPr>
    </w:p>
    <w:p w:rsidR="009766C9" w:rsidRDefault="009766C9" w:rsidP="000B33C0">
      <w:pPr>
        <w:widowControl/>
        <w:spacing w:line="360" w:lineRule="auto"/>
        <w:ind w:rightChars="-567" w:right="-1361"/>
        <w:jc w:val="left"/>
        <w:rPr>
          <w:rFonts w:ascii="微软雅黑" w:hAnsi="微软雅黑" w:cs="宋体" w:hint="eastAsia"/>
          <w:b/>
          <w:kern w:val="0"/>
          <w:sz w:val="28"/>
          <w:szCs w:val="28"/>
        </w:rPr>
      </w:pPr>
    </w:p>
    <w:p w:rsidR="002508E9" w:rsidRDefault="002508E9" w:rsidP="000B33C0">
      <w:pPr>
        <w:widowControl/>
        <w:spacing w:line="360" w:lineRule="auto"/>
        <w:ind w:rightChars="-567" w:right="-1361"/>
        <w:jc w:val="left"/>
        <w:rPr>
          <w:rFonts w:ascii="微软雅黑" w:hAnsi="微软雅黑" w:cs="宋体"/>
          <w:b/>
          <w:kern w:val="0"/>
          <w:sz w:val="28"/>
          <w:szCs w:val="28"/>
        </w:rPr>
      </w:pPr>
    </w:p>
    <w:p w:rsidR="000B33C0" w:rsidRDefault="000B33C0" w:rsidP="000B33C0">
      <w:pPr>
        <w:widowControl/>
        <w:spacing w:line="360" w:lineRule="auto"/>
        <w:ind w:rightChars="-567" w:right="-1361"/>
        <w:jc w:val="left"/>
        <w:rPr>
          <w:rFonts w:ascii="微软雅黑" w:hAnsi="微软雅黑" w:cs="宋体"/>
          <w:b/>
          <w:kern w:val="0"/>
          <w:sz w:val="28"/>
          <w:szCs w:val="28"/>
        </w:rPr>
      </w:pPr>
      <w:r>
        <w:rPr>
          <w:rFonts w:ascii="微软雅黑" w:hAnsi="微软雅黑" w:cs="宋体"/>
          <w:b/>
          <w:noProof/>
          <w:kern w:val="0"/>
          <w:sz w:val="28"/>
          <w:szCs w:val="28"/>
        </w:rPr>
        <w:lastRenderedPageBreak/>
        <mc:AlternateContent>
          <mc:Choice Requires="wps">
            <w:drawing>
              <wp:anchor distT="0" distB="0" distL="114300" distR="114300" simplePos="0" relativeHeight="251663360" behindDoc="0" locked="0" layoutInCell="1" allowOverlap="1" wp14:anchorId="14117B6E" wp14:editId="7DB8E0AE">
                <wp:simplePos x="0" y="0"/>
                <wp:positionH relativeFrom="column">
                  <wp:posOffset>923925</wp:posOffset>
                </wp:positionH>
                <wp:positionV relativeFrom="paragraph">
                  <wp:posOffset>153035</wp:posOffset>
                </wp:positionV>
                <wp:extent cx="3215005" cy="563245"/>
                <wp:effectExtent l="19050" t="19050" r="99695" b="103505"/>
                <wp:wrapNone/>
                <wp:docPr id="13" name="自选图形 46"/>
                <wp:cNvGraphicFramePr/>
                <a:graphic xmlns:a="http://schemas.openxmlformats.org/drawingml/2006/main">
                  <a:graphicData uri="http://schemas.microsoft.com/office/word/2010/wordprocessingShape">
                    <wps:wsp>
                      <wps:cNvSpPr/>
                      <wps:spPr>
                        <a:xfrm>
                          <a:off x="0" y="0"/>
                          <a:ext cx="3215005" cy="563245"/>
                        </a:xfrm>
                        <a:prstGeom prst="roundRect">
                          <a:avLst>
                            <a:gd name="adj" fmla="val 16667"/>
                          </a:avLst>
                        </a:prstGeom>
                        <a:solidFill>
                          <a:srgbClr val="FFFFFF"/>
                        </a:solidFill>
                        <a:ln w="38100" cap="flat" cmpd="sng">
                          <a:solidFill>
                            <a:srgbClr val="F2F2F2">
                              <a:lumMod val="95000"/>
                            </a:srgbClr>
                          </a:solidFill>
                          <a:prstDash val="solid"/>
                          <a:headEnd type="none" w="med" len="med"/>
                          <a:tailEnd type="none" w="med" len="med"/>
                        </a:ln>
                        <a:effectLst>
                          <a:outerShdw dist="107763" dir="2699999" algn="ctr" rotWithShape="0">
                            <a:srgbClr val="0070C0">
                              <a:alpha val="50000"/>
                            </a:srgbClr>
                          </a:outerShdw>
                        </a:effectLst>
                      </wps:spPr>
                      <wps:txbx>
                        <w:txbxContent>
                          <w:p w:rsidR="000B33C0" w:rsidRDefault="000B33C0" w:rsidP="000B33C0">
                            <w:pPr>
                              <w:pStyle w:val="1"/>
                              <w:jc w:val="center"/>
                              <w:rPr>
                                <w:rFonts w:asciiTheme="minorEastAsia" w:eastAsiaTheme="minorEastAsia" w:hAnsiTheme="minorEastAsia"/>
                                <w:color w:val="000000" w:themeColor="text1"/>
                                <w:spacing w:val="34"/>
                                <w:kern w:val="40"/>
                                <w:position w:val="10"/>
                                <w:sz w:val="32"/>
                                <w:szCs w:val="32"/>
                              </w:rPr>
                            </w:pPr>
                            <w:r>
                              <w:rPr>
                                <w:rFonts w:asciiTheme="minorEastAsia" w:eastAsiaTheme="minorEastAsia" w:hAnsiTheme="minorEastAsia" w:hint="eastAsia"/>
                                <w:color w:val="000000" w:themeColor="text1"/>
                                <w:spacing w:val="34"/>
                                <w:kern w:val="40"/>
                                <w:position w:val="10"/>
                                <w:sz w:val="32"/>
                                <w:szCs w:val="32"/>
                              </w:rPr>
                              <w:t>机构分析</w:t>
                            </w:r>
                          </w:p>
                        </w:txbxContent>
                      </wps:txbx>
                      <wps:bodyPr upright="1"/>
                    </wps:wsp>
                  </a:graphicData>
                </a:graphic>
              </wp:anchor>
            </w:drawing>
          </mc:Choice>
          <mc:Fallback>
            <w:pict>
              <v:roundrect w14:anchorId="14117B6E" id="自选图形 46" o:spid="_x0000_s1026" style="position:absolute;margin-left:72.75pt;margin-top:12.05pt;width:253.15pt;height:44.35pt;z-index:25166336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" strokecolor="#e6e6e6" strokeweight="3pt">
                <v:shadow on="t" color="#0070c0" opacity=".5" offset="6pt,6pt"/>
                <v:textbox>
                  <w:txbxContent>
                    <w:p w:rsidR="000B33C0" w:rsidRDefault="000B33C0" w:rsidP="000B33C0">
                      <w:pPr>
                        <w:pStyle w:val="1"/>
                        <w:jc w:val="center"/>
                        <w:rPr>
                          <w:rFonts w:asciiTheme="minorEastAsia" w:eastAsiaTheme="minorEastAsia" w:hAnsiTheme="minorEastAsia"/>
                          <w:color w:val="000000" w:themeColor="text1"/>
                          <w:spacing w:val="34"/>
                          <w:kern w:val="40"/>
                          <w:position w:val="10"/>
                          <w:sz w:val="32"/>
                          <w:szCs w:val="32"/>
                        </w:rPr>
                      </w:pPr>
                      <w:r>
                        <w:rPr>
                          <w:rFonts w:asciiTheme="minorEastAsia" w:eastAsiaTheme="minorEastAsia" w:hAnsiTheme="minorEastAsia" w:hint="eastAsia"/>
                          <w:color w:val="000000" w:themeColor="text1"/>
                          <w:spacing w:val="34"/>
                          <w:kern w:val="40"/>
                          <w:position w:val="10"/>
                          <w:sz w:val="32"/>
                          <w:szCs w:val="32"/>
                        </w:rPr>
                        <w:t>机构分析</w:t>
                      </w:r>
                    </w:p>
                  </w:txbxContent>
                </v:textbox>
              </v:roundrect>
            </w:pict>
          </mc:Fallback>
        </mc:AlternateContent>
      </w:r>
    </w:p>
    <w:p w:rsidR="000B33C0" w:rsidRDefault="000B33C0" w:rsidP="000B33C0">
      <w:pPr>
        <w:spacing w:line="360" w:lineRule="auto"/>
        <w:rPr>
          <w:rFonts w:asciiTheme="minorEastAsia" w:eastAsiaTheme="minorEastAsia" w:hAnsiTheme="minorEastAsia" w:cstheme="minorEastAsia"/>
        </w:rPr>
      </w:pPr>
    </w:p>
    <w:p w:rsidR="000A0AC5" w:rsidRDefault="000A0AC5" w:rsidP="007D2EEF">
      <w:pPr>
        <w:spacing w:line="360" w:lineRule="auto"/>
        <w:jc w:val="center"/>
        <w:rPr>
          <w:rFonts w:asciiTheme="minorEastAsia" w:eastAsiaTheme="minorEastAsia" w:hAnsiTheme="minorEastAsia" w:cstheme="minorEastAsia"/>
        </w:rPr>
      </w:pPr>
    </w:p>
    <w:p w:rsidR="000A0AC5" w:rsidRDefault="000A0AC5" w:rsidP="007D2EEF">
      <w:pPr>
        <w:spacing w:line="360" w:lineRule="auto"/>
        <w:jc w:val="center"/>
        <w:rPr>
          <w:rFonts w:asciiTheme="minorEastAsia" w:eastAsiaTheme="minorEastAsia" w:hAnsiTheme="minorEastAsia" w:cstheme="minorEastAsia"/>
        </w:rPr>
      </w:pPr>
    </w:p>
    <w:p w:rsidR="000A0AC5" w:rsidRDefault="00714B47" w:rsidP="0041364D">
      <w:pPr>
        <w:spacing w:line="360" w:lineRule="auto"/>
        <w:jc w:val="center"/>
        <w:rPr>
          <w:rFonts w:asciiTheme="minorEastAsia" w:eastAsiaTheme="minorEastAsia" w:hAnsiTheme="minorEastAsia" w:cstheme="minorEastAsia"/>
        </w:rPr>
      </w:pPr>
      <w:r>
        <w:rPr>
          <w:noProof/>
        </w:rPr>
        <w:drawing>
          <wp:inline distT="0" distB="0" distL="0" distR="0" wp14:anchorId="0EE6C514" wp14:editId="50CB2EA1">
            <wp:extent cx="3676652" cy="2819399"/>
            <wp:effectExtent l="0" t="0" r="0" b="635"/>
            <wp:docPr id="5" name="图表 5">
              <a:extLst xmlns:a="http://schemas.openxmlformats.org/drawingml/2006/main">
                <a:ext uri="{FF2B5EF4-FFF2-40B4-BE49-F238E27FC236}">
                  <a16:creationId xmlns:a16="http://schemas.microsoft.com/office/drawing/2014/main" id="{ABF823C7-067F-456C-B34F-10B4786BF53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41364D" w:rsidRDefault="0041364D" w:rsidP="0041364D">
      <w:pPr>
        <w:spacing w:line="360" w:lineRule="auto"/>
        <w:jc w:val="center"/>
        <w:rPr>
          <w:rFonts w:asciiTheme="minorEastAsia" w:eastAsiaTheme="minorEastAsia" w:hAnsiTheme="minorEastAsia" w:cstheme="minorEastAsia"/>
        </w:rPr>
      </w:pPr>
    </w:p>
    <w:p w:rsidR="0041364D" w:rsidRDefault="0041364D" w:rsidP="0041364D">
      <w:pPr>
        <w:spacing w:line="360" w:lineRule="auto"/>
        <w:jc w:val="center"/>
        <w:rPr>
          <w:rFonts w:asciiTheme="minorEastAsia" w:eastAsiaTheme="minorEastAsia" w:hAnsiTheme="minorEastAsia" w:cstheme="minorEastAsia"/>
        </w:rPr>
        <w:sectPr w:rsidR="0041364D">
          <w:headerReference w:type="default" r:id="rId16"/>
          <w:footerReference w:type="default" r:id="rId17"/>
          <w:pgSz w:w="11906" w:h="16838"/>
          <w:pgMar w:top="2835" w:right="1797" w:bottom="1440" w:left="1797" w:header="851" w:footer="992" w:gutter="0"/>
          <w:cols w:space="425"/>
          <w:docGrid w:type="lines" w:linePitch="312"/>
        </w:sectPr>
      </w:pPr>
    </w:p>
    <w:p w:rsidR="000B33C0" w:rsidRDefault="000B33C0" w:rsidP="000B33C0">
      <w:pPr>
        <w:spacing w:line="360" w:lineRule="auto"/>
        <w:rPr>
          <w:rFonts w:asciiTheme="minorEastAsia" w:eastAsiaTheme="minorEastAsia" w:hAnsiTheme="minorEastAsia" w:cstheme="minorEastAsia"/>
        </w:rPr>
      </w:pPr>
      <w:r>
        <w:rPr>
          <w:rFonts w:asciiTheme="minorEastAsia" w:eastAsiaTheme="minorEastAsia" w:hAnsiTheme="minorEastAsia" w:cstheme="minorEastAsia" w:hint="eastAsia"/>
        </w:rPr>
        <w:t>上一周期（</w:t>
      </w:r>
      <w:r w:rsidR="00E401EE">
        <w:rPr>
          <w:rFonts w:asciiTheme="minorEastAsia" w:eastAsiaTheme="minorEastAsia" w:hAnsiTheme="minorEastAsia" w:cstheme="minorEastAsia" w:hint="eastAsia"/>
        </w:rPr>
        <w:t>12</w:t>
      </w:r>
      <w:r>
        <w:rPr>
          <w:rFonts w:asciiTheme="minorEastAsia" w:eastAsiaTheme="minorEastAsia" w:hAnsiTheme="minorEastAsia" w:cstheme="minorEastAsia" w:hint="eastAsia"/>
        </w:rPr>
        <w:t>月</w:t>
      </w:r>
      <w:r w:rsidR="00E401EE">
        <w:rPr>
          <w:rFonts w:asciiTheme="minorEastAsia" w:eastAsiaTheme="minorEastAsia" w:hAnsiTheme="minorEastAsia" w:cstheme="minorEastAsia" w:hint="eastAsia"/>
        </w:rPr>
        <w:t>10</w:t>
      </w:r>
      <w:r>
        <w:rPr>
          <w:rFonts w:asciiTheme="minorEastAsia" w:eastAsiaTheme="minorEastAsia" w:hAnsiTheme="minorEastAsia" w:cstheme="minorEastAsia" w:hint="eastAsia"/>
        </w:rPr>
        <w:t>日</w:t>
      </w:r>
      <w:r w:rsidR="008669E6">
        <w:rPr>
          <w:rFonts w:asciiTheme="minorEastAsia" w:eastAsiaTheme="minorEastAsia" w:hAnsiTheme="minorEastAsia" w:cstheme="minorEastAsia" w:hint="eastAsia"/>
        </w:rPr>
        <w:t>-</w:t>
      </w:r>
      <w:r w:rsidR="00E401EE">
        <w:rPr>
          <w:rFonts w:asciiTheme="minorEastAsia" w:eastAsiaTheme="minorEastAsia" w:hAnsiTheme="minorEastAsia" w:cstheme="minorEastAsia" w:hint="eastAsia"/>
        </w:rPr>
        <w:t>12</w:t>
      </w:r>
      <w:r w:rsidR="008669E6">
        <w:rPr>
          <w:rFonts w:asciiTheme="minorEastAsia" w:eastAsiaTheme="minorEastAsia" w:hAnsiTheme="minorEastAsia" w:cstheme="minorEastAsia" w:hint="eastAsia"/>
        </w:rPr>
        <w:t>月</w:t>
      </w:r>
      <w:r w:rsidR="00E401EE">
        <w:rPr>
          <w:rFonts w:asciiTheme="minorEastAsia" w:eastAsiaTheme="minorEastAsia" w:hAnsiTheme="minorEastAsia" w:cstheme="minorEastAsia" w:hint="eastAsia"/>
        </w:rPr>
        <w:t>16</w:t>
      </w:r>
      <w:r w:rsidR="008669E6">
        <w:rPr>
          <w:rFonts w:asciiTheme="minorEastAsia" w:eastAsiaTheme="minorEastAsia" w:hAnsiTheme="minorEastAsia" w:cstheme="minorEastAsia" w:hint="eastAsia"/>
        </w:rPr>
        <w:t>日</w:t>
      </w:r>
      <w:r>
        <w:rPr>
          <w:rFonts w:asciiTheme="minorEastAsia" w:eastAsiaTheme="minorEastAsia" w:hAnsiTheme="minorEastAsia" w:cstheme="minorEastAsia"/>
        </w:rPr>
        <w:t>）</w:t>
      </w:r>
      <w:r>
        <w:rPr>
          <w:rFonts w:asciiTheme="minorEastAsia" w:eastAsiaTheme="minorEastAsia" w:hAnsiTheme="minorEastAsia" w:cstheme="minorEastAsia" w:hint="eastAsia"/>
        </w:rPr>
        <w:t>，共有</w:t>
      </w:r>
      <w:r w:rsidR="00E401EE">
        <w:rPr>
          <w:rFonts w:asciiTheme="minorEastAsia" w:eastAsiaTheme="minorEastAsia" w:hAnsiTheme="minorEastAsia" w:cstheme="minorEastAsia" w:hint="eastAsia"/>
        </w:rPr>
        <w:t>22</w:t>
      </w:r>
      <w:r>
        <w:rPr>
          <w:rFonts w:asciiTheme="minorEastAsia" w:eastAsiaTheme="minorEastAsia" w:hAnsiTheme="minorEastAsia" w:cstheme="minorEastAsia" w:hint="eastAsia"/>
        </w:rPr>
        <w:t>家证券研究机构共发布新能源概念相关研报</w:t>
      </w:r>
      <w:r w:rsidR="002A702E">
        <w:rPr>
          <w:rFonts w:asciiTheme="minorEastAsia" w:eastAsiaTheme="minorEastAsia" w:hAnsiTheme="minorEastAsia" w:cstheme="minorEastAsia" w:hint="eastAsia"/>
        </w:rPr>
        <w:t>3</w:t>
      </w:r>
      <w:r w:rsidR="00E401EE">
        <w:rPr>
          <w:rFonts w:asciiTheme="minorEastAsia" w:eastAsiaTheme="minorEastAsia" w:hAnsiTheme="minorEastAsia" w:cstheme="minorEastAsia" w:hint="eastAsia"/>
        </w:rPr>
        <w:t>4</w:t>
      </w:r>
      <w:r>
        <w:rPr>
          <w:rFonts w:asciiTheme="minorEastAsia" w:eastAsiaTheme="minorEastAsia" w:hAnsiTheme="minorEastAsia" w:cstheme="minorEastAsia" w:hint="eastAsia"/>
        </w:rPr>
        <w:t>份，其中</w:t>
      </w:r>
      <w:r w:rsidR="002508E9">
        <w:rPr>
          <w:rFonts w:asciiTheme="minorEastAsia" w:eastAsiaTheme="minorEastAsia" w:hAnsiTheme="minorEastAsia" w:cstheme="minorEastAsia" w:hint="eastAsia"/>
        </w:rPr>
        <w:t>1</w:t>
      </w:r>
      <w:r w:rsidR="00E401EE">
        <w:rPr>
          <w:rFonts w:asciiTheme="minorEastAsia" w:eastAsiaTheme="minorEastAsia" w:hAnsiTheme="minorEastAsia" w:cstheme="minorEastAsia" w:hint="eastAsia"/>
        </w:rPr>
        <w:t>6</w:t>
      </w:r>
      <w:r>
        <w:rPr>
          <w:rFonts w:asciiTheme="minorEastAsia" w:eastAsiaTheme="minorEastAsia" w:hAnsiTheme="minorEastAsia" w:cstheme="minorEastAsia" w:hint="eastAsia"/>
        </w:rPr>
        <w:t>份研报对新能源相关公司给出了评级，其中买入评级</w:t>
      </w:r>
      <w:r w:rsidR="00E401EE">
        <w:rPr>
          <w:rFonts w:asciiTheme="minorEastAsia" w:eastAsiaTheme="minorEastAsia" w:hAnsiTheme="minorEastAsia" w:cstheme="minorEastAsia" w:hint="eastAsia"/>
        </w:rPr>
        <w:t>4</w:t>
      </w:r>
      <w:r>
        <w:rPr>
          <w:rFonts w:asciiTheme="minorEastAsia" w:eastAsiaTheme="minorEastAsia" w:hAnsiTheme="minorEastAsia" w:cstheme="minorEastAsia" w:hint="eastAsia"/>
        </w:rPr>
        <w:t>个，增持评级</w:t>
      </w:r>
      <w:r w:rsidR="00E401EE">
        <w:rPr>
          <w:rFonts w:asciiTheme="minorEastAsia" w:eastAsiaTheme="minorEastAsia" w:hAnsiTheme="minorEastAsia" w:cstheme="minorEastAsia" w:hint="eastAsia"/>
        </w:rPr>
        <w:t>10</w:t>
      </w:r>
      <w:r>
        <w:rPr>
          <w:rFonts w:asciiTheme="minorEastAsia" w:eastAsiaTheme="minorEastAsia" w:hAnsiTheme="minorEastAsia" w:cstheme="minorEastAsia" w:hint="eastAsia"/>
        </w:rPr>
        <w:t>个，中性评级</w:t>
      </w:r>
      <w:r w:rsidR="002508E9">
        <w:rPr>
          <w:rFonts w:asciiTheme="minorEastAsia" w:eastAsiaTheme="minorEastAsia" w:hAnsiTheme="minorEastAsia" w:cstheme="minorEastAsia" w:hint="eastAsia"/>
        </w:rPr>
        <w:t>2</w:t>
      </w:r>
      <w:r w:rsidR="008669E6">
        <w:rPr>
          <w:rFonts w:asciiTheme="minorEastAsia" w:eastAsiaTheme="minorEastAsia" w:hAnsiTheme="minorEastAsia" w:cstheme="minorEastAsia" w:hint="eastAsia"/>
        </w:rPr>
        <w:t>个</w:t>
      </w:r>
      <w:r w:rsidR="00071B2F">
        <w:rPr>
          <w:rFonts w:asciiTheme="minorEastAsia" w:eastAsiaTheme="minorEastAsia" w:hAnsiTheme="minorEastAsia" w:cstheme="minorEastAsia" w:hint="eastAsia"/>
        </w:rPr>
        <w:t>，</w:t>
      </w:r>
      <w:r>
        <w:rPr>
          <w:rFonts w:asciiTheme="minorEastAsia" w:eastAsiaTheme="minorEastAsia" w:hAnsiTheme="minorEastAsia" w:cstheme="minorEastAsia" w:hint="eastAsia"/>
        </w:rPr>
        <w:t>整体评级持续正向，说明对新能源相关概念公司及市场多持长期看好。</w:t>
      </w:r>
    </w:p>
    <w:p w:rsidR="004A1958" w:rsidRDefault="004A1958" w:rsidP="000B33C0">
      <w:pPr>
        <w:spacing w:line="360" w:lineRule="auto"/>
        <w:rPr>
          <w:rFonts w:asciiTheme="minorEastAsia" w:eastAsiaTheme="minorEastAsia" w:hAnsiTheme="minorEastAsia" w:cstheme="minorEastAsia"/>
        </w:rPr>
      </w:pPr>
    </w:p>
    <w:p w:rsidR="004A1958" w:rsidRDefault="004A1958" w:rsidP="000B33C0">
      <w:pPr>
        <w:spacing w:line="360" w:lineRule="auto"/>
        <w:rPr>
          <w:rFonts w:asciiTheme="minorEastAsia" w:eastAsiaTheme="minorEastAsia" w:hAnsiTheme="minorEastAsia" w:cstheme="minorEastAsia"/>
        </w:rPr>
      </w:pPr>
    </w:p>
    <w:p w:rsidR="004A1958" w:rsidRDefault="004A1958" w:rsidP="000B33C0">
      <w:pPr>
        <w:spacing w:line="360" w:lineRule="auto"/>
        <w:rPr>
          <w:rFonts w:asciiTheme="minorEastAsia" w:eastAsiaTheme="minorEastAsia" w:hAnsiTheme="minorEastAsia" w:cstheme="minorEastAsia"/>
        </w:rPr>
      </w:pPr>
    </w:p>
    <w:p w:rsidR="002508E9" w:rsidRDefault="002508E9" w:rsidP="000B33C0">
      <w:pPr>
        <w:spacing w:line="360" w:lineRule="auto"/>
        <w:rPr>
          <w:rFonts w:asciiTheme="minorEastAsia" w:eastAsiaTheme="minorEastAsia" w:hAnsiTheme="minorEastAsia" w:cstheme="minorEastAsia"/>
        </w:rPr>
      </w:pPr>
    </w:p>
    <w:p w:rsidR="002508E9" w:rsidRDefault="002508E9" w:rsidP="000B33C0">
      <w:pPr>
        <w:spacing w:line="360" w:lineRule="auto"/>
        <w:rPr>
          <w:rFonts w:asciiTheme="minorEastAsia" w:eastAsiaTheme="minorEastAsia" w:hAnsiTheme="minorEastAsia" w:cstheme="minorEastAsia"/>
        </w:rPr>
      </w:pPr>
    </w:p>
    <w:p w:rsidR="004A1958" w:rsidRDefault="004A1958" w:rsidP="000B33C0">
      <w:pPr>
        <w:spacing w:line="360" w:lineRule="auto"/>
        <w:rPr>
          <w:rFonts w:asciiTheme="minorEastAsia" w:eastAsiaTheme="minorEastAsia" w:hAnsiTheme="minorEastAsia" w:cstheme="minorEastAsia"/>
        </w:rPr>
      </w:pPr>
    </w:p>
    <w:p w:rsidR="004A1958" w:rsidRDefault="004A1958" w:rsidP="000B33C0">
      <w:pPr>
        <w:spacing w:line="360" w:lineRule="auto"/>
        <w:rPr>
          <w:rFonts w:asciiTheme="minorEastAsia" w:eastAsiaTheme="minorEastAsia" w:hAnsiTheme="minorEastAsia" w:cstheme="minorEastAsia"/>
        </w:rPr>
        <w:sectPr w:rsidR="004A1958" w:rsidSect="00292980">
          <w:type w:val="continuous"/>
          <w:pgSz w:w="11906" w:h="16838"/>
          <w:pgMar w:top="2835" w:right="1797" w:bottom="1440" w:left="1797" w:header="851" w:footer="992" w:gutter="0"/>
          <w:cols w:space="425"/>
          <w:docGrid w:type="lines" w:linePitch="312"/>
        </w:sectPr>
      </w:pPr>
    </w:p>
    <w:p w:rsidR="000B33C0" w:rsidRDefault="000B33C0" w:rsidP="000B33C0">
      <w:pPr>
        <w:spacing w:line="360" w:lineRule="auto"/>
        <w:rPr>
          <w:rFonts w:asciiTheme="minorEastAsia" w:eastAsiaTheme="minorEastAsia" w:hAnsiTheme="minorEastAsia" w:cstheme="minorEastAsia"/>
        </w:rPr>
      </w:pPr>
    </w:p>
    <w:p w:rsidR="000B33C0" w:rsidRDefault="000B33C0" w:rsidP="000B33C0">
      <w:pPr>
        <w:spacing w:line="360" w:lineRule="auto"/>
        <w:rPr>
          <w:rFonts w:asciiTheme="minorEastAsia" w:eastAsiaTheme="minorEastAsia" w:hAnsiTheme="minorEastAsia" w:cstheme="minorEastAsia"/>
        </w:rPr>
        <w:sectPr w:rsidR="000B33C0" w:rsidSect="00292980">
          <w:type w:val="continuous"/>
          <w:pgSz w:w="11906" w:h="16838"/>
          <w:pgMar w:top="2835" w:right="1797" w:bottom="1440" w:left="1797" w:header="851" w:footer="992" w:gutter="0"/>
          <w:cols w:num="2" w:space="425"/>
          <w:docGrid w:type="lines" w:linePitch="312"/>
        </w:sectPr>
      </w:pPr>
    </w:p>
    <w:p w:rsidR="000B33C0" w:rsidRDefault="000B33C0" w:rsidP="000B33C0">
      <w:pPr>
        <w:widowControl/>
        <w:spacing w:line="360" w:lineRule="auto"/>
        <w:ind w:rightChars="-567" w:right="-1361"/>
        <w:jc w:val="left"/>
        <w:rPr>
          <w:rFonts w:ascii="微软雅黑" w:hAnsi="微软雅黑" w:cs="宋体"/>
          <w:b/>
          <w:kern w:val="0"/>
          <w:sz w:val="28"/>
          <w:szCs w:val="28"/>
        </w:rPr>
      </w:pPr>
      <w:r>
        <w:rPr>
          <w:rFonts w:ascii="微软雅黑" w:hAnsi="微软雅黑" w:cs="宋体"/>
          <w:b/>
          <w:noProof/>
          <w:kern w:val="0"/>
          <w:sz w:val="28"/>
          <w:szCs w:val="28"/>
        </w:rPr>
        <w:lastRenderedPageBreak/>
        <mc:AlternateContent>
          <mc:Choice Requires="wps">
            <w:drawing>
              <wp:anchor distT="0" distB="0" distL="114300" distR="114300" simplePos="0" relativeHeight="251665408" behindDoc="0" locked="0" layoutInCell="1" allowOverlap="1" wp14:anchorId="196D29C1" wp14:editId="0BE7978D">
                <wp:simplePos x="0" y="0"/>
                <wp:positionH relativeFrom="column">
                  <wp:posOffset>941705</wp:posOffset>
                </wp:positionH>
                <wp:positionV relativeFrom="paragraph">
                  <wp:posOffset>217170</wp:posOffset>
                </wp:positionV>
                <wp:extent cx="3215005" cy="563245"/>
                <wp:effectExtent l="19050" t="19050" r="99695" b="103505"/>
                <wp:wrapNone/>
                <wp:docPr id="20" name="自选图形 46"/>
                <wp:cNvGraphicFramePr/>
                <a:graphic xmlns:a="http://schemas.openxmlformats.org/drawingml/2006/main">
                  <a:graphicData uri="http://schemas.microsoft.com/office/word/2010/wordprocessingShape">
                    <wps:wsp>
                      <wps:cNvSpPr/>
                      <wps:spPr>
                        <a:xfrm>
                          <a:off x="0" y="0"/>
                          <a:ext cx="3215005" cy="563245"/>
                        </a:xfrm>
                        <a:prstGeom prst="roundRect">
                          <a:avLst>
                            <a:gd name="adj" fmla="val 16667"/>
                          </a:avLst>
                        </a:prstGeom>
                        <a:solidFill>
                          <a:srgbClr val="FFFFFF"/>
                        </a:solidFill>
                        <a:ln w="38100" cap="flat" cmpd="sng">
                          <a:solidFill>
                            <a:srgbClr val="F2F2F2">
                              <a:lumMod val="95000"/>
                            </a:srgbClr>
                          </a:solidFill>
                          <a:prstDash val="solid"/>
                          <a:headEnd type="none" w="med" len="med"/>
                          <a:tailEnd type="none" w="med" len="med"/>
                        </a:ln>
                        <a:effectLst>
                          <a:outerShdw dist="107763" dir="2699999" algn="ctr" rotWithShape="0">
                            <a:srgbClr val="0070C0">
                              <a:alpha val="50000"/>
                            </a:srgbClr>
                          </a:outerShdw>
                        </a:effectLst>
                      </wps:spPr>
                      <wps:txbx>
                        <w:txbxContent>
                          <w:p w:rsidR="000B33C0" w:rsidRDefault="000B33C0" w:rsidP="000B33C0">
                            <w:pPr>
                              <w:pStyle w:val="1"/>
                              <w:jc w:val="center"/>
                              <w:rPr>
                                <w:rFonts w:asciiTheme="minorEastAsia" w:eastAsiaTheme="minorEastAsia" w:hAnsiTheme="minorEastAsia"/>
                                <w:color w:val="000000" w:themeColor="text1"/>
                                <w:spacing w:val="34"/>
                                <w:kern w:val="40"/>
                                <w:position w:val="10"/>
                                <w:sz w:val="32"/>
                                <w:szCs w:val="32"/>
                              </w:rPr>
                            </w:pPr>
                            <w:r>
                              <w:rPr>
                                <w:rFonts w:asciiTheme="minorEastAsia" w:eastAsiaTheme="minorEastAsia" w:hAnsiTheme="minorEastAsia" w:hint="eastAsia"/>
                                <w:color w:val="000000" w:themeColor="text1"/>
                                <w:spacing w:val="34"/>
                                <w:kern w:val="40"/>
                                <w:position w:val="10"/>
                                <w:sz w:val="32"/>
                                <w:szCs w:val="32"/>
                              </w:rPr>
                              <w:t>行业动态</w:t>
                            </w:r>
                          </w:p>
                        </w:txbxContent>
                      </wps:txbx>
                      <wps:bodyPr upright="1"/>
                    </wps:wsp>
                  </a:graphicData>
                </a:graphic>
              </wp:anchor>
            </w:drawing>
          </mc:Choice>
          <mc:Fallback>
            <w:pict>
              <v:roundrect w14:anchorId="196D29C1" id="_x0000_s1027" style="position:absolute;margin-left:74.15pt;margin-top:17.1pt;width:253.15pt;height:44.35pt;z-index:25166540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" strokecolor="#e6e6e6" strokeweight="3pt">
                <v:shadow on="t" color="#0070c0" opacity=".5" offset="6pt,6pt"/>
                <v:textbox>
                  <w:txbxContent>
                    <w:p w:rsidR="000B33C0" w:rsidRDefault="000B33C0" w:rsidP="000B33C0">
                      <w:pPr>
                        <w:pStyle w:val="1"/>
                        <w:jc w:val="center"/>
                        <w:rPr>
                          <w:rFonts w:asciiTheme="minorEastAsia" w:eastAsiaTheme="minorEastAsia" w:hAnsiTheme="minorEastAsia"/>
                          <w:color w:val="000000" w:themeColor="text1"/>
                          <w:spacing w:val="34"/>
                          <w:kern w:val="40"/>
                          <w:position w:val="10"/>
                          <w:sz w:val="32"/>
                          <w:szCs w:val="32"/>
                        </w:rPr>
                      </w:pPr>
                      <w:r>
                        <w:rPr>
                          <w:rFonts w:asciiTheme="minorEastAsia" w:eastAsiaTheme="minorEastAsia" w:hAnsiTheme="minorEastAsia" w:hint="eastAsia"/>
                          <w:color w:val="000000" w:themeColor="text1"/>
                          <w:spacing w:val="34"/>
                          <w:kern w:val="40"/>
                          <w:position w:val="10"/>
                          <w:sz w:val="32"/>
                          <w:szCs w:val="32"/>
                        </w:rPr>
                        <w:t>行业动态</w:t>
                      </w:r>
                    </w:p>
                  </w:txbxContent>
                </v:textbox>
              </v:roundrect>
            </w:pict>
          </mc:Fallback>
        </mc:AlternateContent>
      </w:r>
    </w:p>
    <w:p w:rsidR="000B33C0" w:rsidRDefault="000B33C0" w:rsidP="000B33C0">
      <w:pPr>
        <w:widowControl/>
        <w:spacing w:line="360" w:lineRule="auto"/>
        <w:ind w:rightChars="-567" w:right="-1361"/>
        <w:jc w:val="left"/>
        <w:rPr>
          <w:rFonts w:ascii="微软雅黑" w:hAnsi="微软雅黑" w:cs="宋体"/>
          <w:b/>
          <w:kern w:val="0"/>
          <w:sz w:val="28"/>
          <w:szCs w:val="28"/>
        </w:rPr>
      </w:pPr>
    </w:p>
    <w:p w:rsidR="009F0EB1" w:rsidRDefault="009F0EB1" w:rsidP="000B33C0">
      <w:pPr>
        <w:widowControl/>
        <w:spacing w:line="360" w:lineRule="auto"/>
        <w:ind w:rightChars="-567" w:right="-1361"/>
        <w:jc w:val="left"/>
        <w:rPr>
          <w:rFonts w:ascii="微软雅黑" w:hAnsi="微软雅黑" w:cs="宋体"/>
          <w:b/>
          <w:kern w:val="0"/>
          <w:sz w:val="28"/>
          <w:szCs w:val="28"/>
        </w:rPr>
      </w:pPr>
    </w:p>
    <w:p w:rsidR="00EC6312" w:rsidRPr="009766C9" w:rsidRDefault="00A42601" w:rsidP="009766C9">
      <w:pPr>
        <w:rPr>
          <w:rFonts w:asciiTheme="minorEastAsia" w:eastAsiaTheme="minorEastAsia" w:hAnsiTheme="minorEastAsia"/>
          <w:b/>
          <w:color w:val="000000" w:themeColor="text1"/>
          <w:szCs w:val="24"/>
        </w:rPr>
      </w:pPr>
      <w:r w:rsidRPr="009766C9">
        <w:rPr>
          <w:rFonts w:asciiTheme="minorEastAsia" w:eastAsiaTheme="minorEastAsia" w:hAnsiTheme="minorEastAsia" w:hint="eastAsia"/>
          <w:b/>
          <w:color w:val="000000" w:themeColor="text1"/>
          <w:szCs w:val="24"/>
        </w:rPr>
        <w:t>新能源补贴政策退坡压力下，磷酸铁锂何去何从？</w:t>
      </w:r>
    </w:p>
    <w:p w:rsidR="00E401EE" w:rsidRPr="009766C9" w:rsidRDefault="00A42601" w:rsidP="009766C9">
      <w:pPr>
        <w:rPr>
          <w:rFonts w:asciiTheme="minorEastAsia" w:eastAsiaTheme="minorEastAsia" w:hAnsiTheme="minorEastAsia"/>
          <w:color w:val="000000" w:themeColor="text1"/>
          <w:szCs w:val="24"/>
        </w:rPr>
      </w:pPr>
      <w:r w:rsidRPr="009766C9">
        <w:rPr>
          <w:rFonts w:asciiTheme="minorEastAsia" w:eastAsiaTheme="minorEastAsia" w:hAnsiTheme="minorEastAsia" w:hint="eastAsia"/>
          <w:color w:val="000000" w:themeColor="text1"/>
          <w:szCs w:val="24"/>
        </w:rPr>
        <w:t>磷酸铁锂电池目前装机量最多的新能源客车市场已经接近饱和，而新能源乘用车市场在政策的推动下不断被三元电池渗透。未来，磷酸铁锂电池厂的发展将如何呢？对上游正极材料的影响又会如何？</w:t>
      </w:r>
    </w:p>
    <w:p w:rsidR="00A42601" w:rsidRPr="009766C9" w:rsidRDefault="00A42601" w:rsidP="009766C9">
      <w:pPr>
        <w:rPr>
          <w:rFonts w:asciiTheme="minorEastAsia" w:eastAsiaTheme="minorEastAsia" w:hAnsiTheme="minorEastAsia"/>
          <w:color w:val="000000" w:themeColor="text1"/>
          <w:szCs w:val="24"/>
        </w:rPr>
      </w:pPr>
    </w:p>
    <w:p w:rsidR="00A42601" w:rsidRPr="009766C9" w:rsidRDefault="00A42601" w:rsidP="009766C9">
      <w:pPr>
        <w:rPr>
          <w:rFonts w:asciiTheme="minorEastAsia" w:eastAsiaTheme="minorEastAsia" w:hAnsiTheme="minorEastAsia" w:hint="eastAsia"/>
          <w:b/>
          <w:color w:val="000000" w:themeColor="text1"/>
          <w:szCs w:val="24"/>
        </w:rPr>
      </w:pPr>
      <w:r w:rsidRPr="009766C9">
        <w:rPr>
          <w:rFonts w:asciiTheme="minorEastAsia" w:eastAsiaTheme="minorEastAsia" w:hAnsiTheme="minorEastAsia" w:hint="eastAsia"/>
          <w:b/>
          <w:color w:val="000000" w:themeColor="text1"/>
          <w:szCs w:val="24"/>
        </w:rPr>
        <w:t>钴价仍在下跌通道 氢氧化锂价格或有松动</w:t>
      </w:r>
    </w:p>
    <w:p w:rsidR="00E401EE" w:rsidRPr="009766C9" w:rsidRDefault="00A42601" w:rsidP="009766C9">
      <w:pPr>
        <w:rPr>
          <w:rFonts w:asciiTheme="minorEastAsia" w:eastAsiaTheme="minorEastAsia" w:hAnsiTheme="minorEastAsia"/>
          <w:color w:val="000000" w:themeColor="text1"/>
          <w:szCs w:val="24"/>
        </w:rPr>
      </w:pPr>
      <w:r w:rsidRPr="009766C9">
        <w:rPr>
          <w:rFonts w:asciiTheme="minorEastAsia" w:eastAsiaTheme="minorEastAsia" w:hAnsiTheme="minorEastAsia" w:hint="eastAsia"/>
          <w:color w:val="000000" w:themeColor="text1"/>
          <w:szCs w:val="24"/>
        </w:rPr>
        <w:t>本周磷酸铁锂电池订单量维持增势，动力方形电池包价格稳定在1200－1400元／kWh，目前整车厂对于电池定价的整体影响仍较大。</w:t>
      </w:r>
    </w:p>
    <w:p w:rsidR="00E401EE" w:rsidRPr="009766C9" w:rsidRDefault="00E401EE" w:rsidP="009766C9">
      <w:pPr>
        <w:rPr>
          <w:rFonts w:asciiTheme="minorEastAsia" w:eastAsiaTheme="minorEastAsia" w:hAnsiTheme="minorEastAsia"/>
          <w:color w:val="000000" w:themeColor="text1"/>
          <w:szCs w:val="24"/>
        </w:rPr>
      </w:pPr>
    </w:p>
    <w:p w:rsidR="00E401EE" w:rsidRPr="009766C9" w:rsidRDefault="00A42601" w:rsidP="009766C9">
      <w:pPr>
        <w:rPr>
          <w:rFonts w:asciiTheme="minorEastAsia" w:eastAsiaTheme="minorEastAsia" w:hAnsiTheme="minorEastAsia"/>
          <w:b/>
          <w:color w:val="000000" w:themeColor="text1"/>
          <w:szCs w:val="24"/>
        </w:rPr>
      </w:pPr>
      <w:r w:rsidRPr="009766C9">
        <w:rPr>
          <w:rFonts w:asciiTheme="minorEastAsia" w:eastAsiaTheme="minorEastAsia" w:hAnsiTheme="minorEastAsia" w:hint="eastAsia"/>
          <w:b/>
          <w:color w:val="000000" w:themeColor="text1"/>
          <w:szCs w:val="24"/>
        </w:rPr>
        <w:t>四部委号召3年优化充电设施 力争补足新能源汽车发展短板</w:t>
      </w:r>
    </w:p>
    <w:p w:rsidR="00E401EE" w:rsidRPr="009766C9" w:rsidRDefault="00A42601" w:rsidP="009766C9">
      <w:pPr>
        <w:rPr>
          <w:rFonts w:asciiTheme="minorEastAsia" w:eastAsiaTheme="minorEastAsia" w:hAnsiTheme="minorEastAsia" w:hint="eastAsia"/>
          <w:color w:val="000000" w:themeColor="text1"/>
          <w:szCs w:val="24"/>
        </w:rPr>
      </w:pPr>
      <w:r w:rsidRPr="009766C9">
        <w:rPr>
          <w:rFonts w:asciiTheme="minorEastAsia" w:eastAsiaTheme="minorEastAsia" w:hAnsiTheme="minorEastAsia" w:hint="eastAsia"/>
          <w:color w:val="000000" w:themeColor="text1"/>
          <w:szCs w:val="24"/>
        </w:rPr>
        <w:t>数据显示，今年1－10月份，我国新能源汽车产销量分别为87．9万辆和86万辆，今年产销量分别突破100万辆已毫无悬念。</w:t>
      </w:r>
    </w:p>
    <w:p w:rsidR="00E401EE" w:rsidRPr="009766C9" w:rsidRDefault="00A42601" w:rsidP="009766C9">
      <w:pPr>
        <w:rPr>
          <w:rFonts w:asciiTheme="minorEastAsia" w:eastAsiaTheme="minorEastAsia" w:hAnsiTheme="minorEastAsia" w:hint="eastAsia"/>
          <w:color w:val="000000" w:themeColor="text1"/>
          <w:szCs w:val="24"/>
        </w:rPr>
      </w:pPr>
      <w:r w:rsidRPr="009766C9">
        <w:rPr>
          <w:rFonts w:asciiTheme="minorEastAsia" w:eastAsiaTheme="minorEastAsia" w:hAnsiTheme="minorEastAsia" w:hint="eastAsia"/>
          <w:color w:val="000000" w:themeColor="text1"/>
          <w:szCs w:val="24"/>
        </w:rPr>
        <w:t>2018年10月中国钴原料进口环比下滑41%</w:t>
      </w:r>
    </w:p>
    <w:p w:rsidR="00083959" w:rsidRPr="009766C9" w:rsidRDefault="00A42601" w:rsidP="009766C9">
      <w:pPr>
        <w:rPr>
          <w:rFonts w:asciiTheme="minorEastAsia" w:eastAsiaTheme="minorEastAsia" w:hAnsiTheme="minorEastAsia"/>
          <w:color w:val="000000" w:themeColor="text1"/>
          <w:szCs w:val="24"/>
        </w:rPr>
      </w:pPr>
      <w:r w:rsidRPr="009766C9">
        <w:rPr>
          <w:rFonts w:asciiTheme="minorEastAsia" w:eastAsiaTheme="minorEastAsia" w:hAnsiTheme="minorEastAsia" w:hint="eastAsia"/>
          <w:color w:val="000000" w:themeColor="text1"/>
          <w:szCs w:val="24"/>
        </w:rPr>
        <w:t>2018年10月中国钴原料进口总量4，383金属吨，环比下滑41％，同比下滑17％。</w:t>
      </w:r>
    </w:p>
    <w:p w:rsidR="00A42601" w:rsidRPr="009766C9" w:rsidRDefault="00A42601" w:rsidP="009766C9">
      <w:pPr>
        <w:rPr>
          <w:rFonts w:asciiTheme="minorEastAsia" w:eastAsiaTheme="minorEastAsia" w:hAnsiTheme="minorEastAsia"/>
          <w:b/>
          <w:color w:val="000000" w:themeColor="text1"/>
          <w:szCs w:val="24"/>
        </w:rPr>
      </w:pPr>
    </w:p>
    <w:p w:rsidR="00A42601" w:rsidRPr="009766C9" w:rsidRDefault="00C435E1" w:rsidP="009766C9">
      <w:pPr>
        <w:rPr>
          <w:rFonts w:asciiTheme="minorEastAsia" w:eastAsiaTheme="minorEastAsia" w:hAnsiTheme="minorEastAsia" w:hint="eastAsia"/>
          <w:b/>
          <w:color w:val="000000" w:themeColor="text1"/>
          <w:szCs w:val="24"/>
        </w:rPr>
      </w:pPr>
      <w:r w:rsidRPr="009766C9">
        <w:rPr>
          <w:rFonts w:asciiTheme="minorEastAsia" w:eastAsiaTheme="minorEastAsia" w:hAnsiTheme="minorEastAsia" w:hint="eastAsia"/>
          <w:b/>
          <w:color w:val="000000" w:themeColor="text1"/>
          <w:szCs w:val="24"/>
        </w:rPr>
        <w:t>外媒钴价加速向国内靠拢 硫酸钴跌幅放缓</w:t>
      </w:r>
    </w:p>
    <w:p w:rsidR="00083959" w:rsidRPr="009766C9" w:rsidRDefault="00C435E1" w:rsidP="009766C9">
      <w:pPr>
        <w:rPr>
          <w:rFonts w:asciiTheme="minorEastAsia" w:eastAsiaTheme="minorEastAsia" w:hAnsiTheme="minorEastAsia"/>
          <w:color w:val="000000" w:themeColor="text1"/>
          <w:szCs w:val="24"/>
        </w:rPr>
      </w:pPr>
      <w:r w:rsidRPr="009766C9">
        <w:rPr>
          <w:rFonts w:asciiTheme="minorEastAsia" w:eastAsiaTheme="minorEastAsia" w:hAnsiTheme="minorEastAsia" w:hint="eastAsia"/>
          <w:color w:val="000000" w:themeColor="text1"/>
          <w:szCs w:val="24"/>
        </w:rPr>
        <w:t>11月，动力电池产业产量排名前三名企业共计生产5．1GWh，占比62．7％；前五名企业共计生产5．9GWh，占比72．5％，前十名企业共计生产7．2GWh，占比87．6％。</w:t>
      </w:r>
    </w:p>
    <w:p w:rsidR="00C435E1" w:rsidRPr="009766C9" w:rsidRDefault="00C435E1" w:rsidP="009766C9">
      <w:pPr>
        <w:rPr>
          <w:rFonts w:asciiTheme="minorEastAsia" w:eastAsiaTheme="minorEastAsia" w:hAnsiTheme="minorEastAsia"/>
          <w:color w:val="000000" w:themeColor="text1"/>
          <w:szCs w:val="24"/>
        </w:rPr>
      </w:pPr>
    </w:p>
    <w:p w:rsidR="00C435E1" w:rsidRPr="009766C9" w:rsidRDefault="00C435E1" w:rsidP="009766C9">
      <w:pPr>
        <w:rPr>
          <w:rFonts w:asciiTheme="minorEastAsia" w:eastAsiaTheme="minorEastAsia" w:hAnsiTheme="minorEastAsia"/>
          <w:b/>
          <w:color w:val="000000" w:themeColor="text1"/>
          <w:szCs w:val="24"/>
        </w:rPr>
      </w:pPr>
      <w:bookmarkStart w:id="0" w:name="_GoBack"/>
      <w:r w:rsidRPr="009766C9">
        <w:rPr>
          <w:rFonts w:asciiTheme="minorEastAsia" w:eastAsiaTheme="minorEastAsia" w:hAnsiTheme="minorEastAsia" w:hint="eastAsia"/>
          <w:b/>
          <w:color w:val="000000" w:themeColor="text1"/>
          <w:szCs w:val="24"/>
        </w:rPr>
        <w:t>财政部：将尽快完善2019年新能源汽车补贴政策</w:t>
      </w:r>
    </w:p>
    <w:bookmarkEnd w:id="0"/>
    <w:p w:rsidR="00C435E1" w:rsidRPr="009766C9" w:rsidRDefault="00C435E1" w:rsidP="009766C9">
      <w:pPr>
        <w:rPr>
          <w:rFonts w:asciiTheme="minorEastAsia" w:eastAsiaTheme="minorEastAsia" w:hAnsiTheme="minorEastAsia"/>
          <w:color w:val="000000" w:themeColor="text1"/>
          <w:szCs w:val="24"/>
        </w:rPr>
      </w:pPr>
      <w:r w:rsidRPr="009766C9">
        <w:rPr>
          <w:rFonts w:asciiTheme="minorEastAsia" w:eastAsiaTheme="minorEastAsia" w:hAnsiTheme="minorEastAsia" w:hint="eastAsia"/>
          <w:color w:val="000000" w:themeColor="text1"/>
          <w:szCs w:val="24"/>
        </w:rPr>
        <w:t>距离2019年仅有半个多月的时间，对于新能源整车厂和动力电池企业来说，目前最为关注的就是2019年新能源汽车补贴政策将如何调整的问题，企业需针对政策调整提前做好相应的准备，备战2019年市场。</w:t>
      </w:r>
    </w:p>
    <w:p w:rsidR="00C435E1" w:rsidRPr="009766C9" w:rsidRDefault="00C435E1" w:rsidP="009766C9">
      <w:pPr>
        <w:rPr>
          <w:rFonts w:asciiTheme="minorEastAsia" w:eastAsiaTheme="minorEastAsia" w:hAnsiTheme="minorEastAsia"/>
          <w:color w:val="000000" w:themeColor="text1"/>
          <w:szCs w:val="24"/>
        </w:rPr>
      </w:pPr>
    </w:p>
    <w:p w:rsidR="00C435E1" w:rsidRPr="009766C9" w:rsidRDefault="00C435E1" w:rsidP="009766C9">
      <w:pPr>
        <w:rPr>
          <w:rFonts w:asciiTheme="minorEastAsia" w:eastAsiaTheme="minorEastAsia" w:hAnsiTheme="minorEastAsia" w:hint="eastAsia"/>
          <w:b/>
          <w:color w:val="000000" w:themeColor="text1"/>
          <w:szCs w:val="24"/>
        </w:rPr>
      </w:pPr>
      <w:r w:rsidRPr="009766C9">
        <w:rPr>
          <w:rFonts w:asciiTheme="minorEastAsia" w:eastAsiaTheme="minorEastAsia" w:hAnsiTheme="minorEastAsia" w:hint="eastAsia"/>
          <w:b/>
          <w:color w:val="000000" w:themeColor="text1"/>
          <w:szCs w:val="24"/>
        </w:rPr>
        <w:t>补贴渐退，混动、48V再战纯电驱动！</w:t>
      </w:r>
    </w:p>
    <w:p w:rsidR="00C435E1" w:rsidRPr="009766C9" w:rsidRDefault="00C435E1" w:rsidP="009766C9">
      <w:pPr>
        <w:rPr>
          <w:rFonts w:asciiTheme="minorEastAsia" w:eastAsiaTheme="minorEastAsia" w:hAnsiTheme="minorEastAsia"/>
          <w:color w:val="000000" w:themeColor="text1"/>
          <w:szCs w:val="24"/>
        </w:rPr>
      </w:pPr>
      <w:r w:rsidRPr="009766C9">
        <w:rPr>
          <w:rFonts w:asciiTheme="minorEastAsia" w:eastAsiaTheme="minorEastAsia" w:hAnsiTheme="minorEastAsia" w:hint="eastAsia"/>
          <w:color w:val="000000" w:themeColor="text1"/>
          <w:szCs w:val="24"/>
        </w:rPr>
        <w:t>2012年7月，国务院印发</w:t>
      </w:r>
      <w:r w:rsidRPr="009766C9">
        <w:rPr>
          <w:rStyle w:val="ae"/>
          <w:rFonts w:asciiTheme="minorEastAsia" w:eastAsiaTheme="minorEastAsia" w:hAnsiTheme="minorEastAsia"/>
          <w:color w:val="000000" w:themeColor="text1"/>
          <w:szCs w:val="24"/>
        </w:rPr>
        <w:t>《节能与新能源汽车产业发展规划（2012—2020年）》</w:t>
      </w:r>
      <w:r w:rsidRPr="009766C9">
        <w:rPr>
          <w:rFonts w:asciiTheme="minorEastAsia" w:eastAsiaTheme="minorEastAsia" w:hAnsiTheme="minorEastAsia" w:hint="eastAsia"/>
          <w:color w:val="000000" w:themeColor="text1"/>
          <w:szCs w:val="24"/>
        </w:rPr>
        <w:t>，确立了以纯电驱动作为中国新能源汽车的技术路线。《发展规划》虽然也提及，要推广普及非插电式混合动力汽车、节能</w:t>
      </w:r>
      <w:hyperlink r:id="rId18" w:tgtFrame="_blank" w:tooltip="内燃机" w:history="1">
        <w:r w:rsidRPr="009766C9">
          <w:rPr>
            <w:rStyle w:val="a7"/>
            <w:rFonts w:asciiTheme="minorEastAsia" w:eastAsiaTheme="minorEastAsia" w:hAnsiTheme="minorEastAsia"/>
            <w:color w:val="000000" w:themeColor="text1"/>
            <w:szCs w:val="24"/>
            <w:u w:val="none"/>
          </w:rPr>
          <w:t>内燃机</w:t>
        </w:r>
      </w:hyperlink>
      <w:r w:rsidRPr="009766C9">
        <w:rPr>
          <w:rFonts w:asciiTheme="minorEastAsia" w:eastAsiaTheme="minorEastAsia" w:hAnsiTheme="minorEastAsia" w:hint="eastAsia"/>
          <w:color w:val="000000" w:themeColor="text1"/>
          <w:szCs w:val="24"/>
        </w:rPr>
        <w:t>汽车，但着重指出，要重点推进纯</w:t>
      </w:r>
      <w:hyperlink r:id="rId19" w:tgtFrame="_blank" w:tooltip="电动汽车" w:history="1">
        <w:r w:rsidRPr="009766C9">
          <w:rPr>
            <w:rStyle w:val="a7"/>
            <w:rFonts w:asciiTheme="minorEastAsia" w:eastAsiaTheme="minorEastAsia" w:hAnsiTheme="minorEastAsia"/>
            <w:color w:val="000000" w:themeColor="text1"/>
            <w:szCs w:val="24"/>
            <w:u w:val="none"/>
          </w:rPr>
          <w:t>电动汽车</w:t>
        </w:r>
      </w:hyperlink>
      <w:r w:rsidRPr="009766C9">
        <w:rPr>
          <w:rFonts w:asciiTheme="minorEastAsia" w:eastAsiaTheme="minorEastAsia" w:hAnsiTheme="minorEastAsia" w:hint="eastAsia"/>
          <w:color w:val="000000" w:themeColor="text1"/>
          <w:szCs w:val="24"/>
        </w:rPr>
        <w:t>和插电式混合动力汽车产业化。</w:t>
      </w:r>
    </w:p>
    <w:p w:rsidR="00C435E1" w:rsidRDefault="00C435E1" w:rsidP="004A1958">
      <w:pPr>
        <w:spacing w:line="360" w:lineRule="auto"/>
      </w:pPr>
    </w:p>
    <w:p w:rsidR="00083959" w:rsidRPr="00083959" w:rsidRDefault="00083959" w:rsidP="004A1958">
      <w:pPr>
        <w:spacing w:line="360" w:lineRule="auto"/>
      </w:pPr>
    </w:p>
    <w:p w:rsidR="00C0400B" w:rsidRPr="00FB2E78" w:rsidRDefault="00C0400B" w:rsidP="000B33C0">
      <w:pPr>
        <w:spacing w:line="360" w:lineRule="auto"/>
      </w:pPr>
    </w:p>
    <w:p w:rsidR="000B33C0" w:rsidRDefault="000B33C0" w:rsidP="000B33C0">
      <w:pPr>
        <w:pStyle w:val="1"/>
      </w:pPr>
      <w:r>
        <w:rPr>
          <w:noProof/>
        </w:rPr>
        <w:lastRenderedPageBreak/>
        <mc:AlternateContent>
          <mc:Choice Requires="wps">
            <w:drawing>
              <wp:anchor distT="0" distB="0" distL="114300" distR="114300" simplePos="0" relativeHeight="251664384" behindDoc="0" locked="0" layoutInCell="1" allowOverlap="1" wp14:anchorId="787B1E34" wp14:editId="264296F2">
                <wp:simplePos x="0" y="0"/>
                <wp:positionH relativeFrom="column">
                  <wp:posOffset>762000</wp:posOffset>
                </wp:positionH>
                <wp:positionV relativeFrom="paragraph">
                  <wp:posOffset>90170</wp:posOffset>
                </wp:positionV>
                <wp:extent cx="3370580" cy="597535"/>
                <wp:effectExtent l="19050" t="19050" r="96520" b="107315"/>
                <wp:wrapNone/>
                <wp:docPr id="14" name="自选图形 59"/>
                <wp:cNvGraphicFramePr/>
                <a:graphic xmlns:a="http://schemas.openxmlformats.org/drawingml/2006/main">
                  <a:graphicData uri="http://schemas.microsoft.com/office/word/2010/wordprocessingShape">
                    <wps:wsp>
                      <wps:cNvSpPr/>
                      <wps:spPr>
                        <a:xfrm>
                          <a:off x="0" y="0"/>
                          <a:ext cx="3370580" cy="597535"/>
                        </a:xfrm>
                        <a:prstGeom prst="roundRect">
                          <a:avLst>
                            <a:gd name="adj" fmla="val 16667"/>
                          </a:avLst>
                        </a:prstGeom>
                        <a:solidFill>
                          <a:srgbClr val="FFFFFF"/>
                        </a:solidFill>
                        <a:ln w="38100" cap="flat" cmpd="sng">
                          <a:solidFill>
                            <a:srgbClr val="F2F2F2">
                              <a:lumMod val="95000"/>
                            </a:srgbClr>
                          </a:solidFill>
                          <a:prstDash val="solid"/>
                          <a:headEnd type="none" w="med" len="med"/>
                          <a:tailEnd type="none" w="med" len="med"/>
                        </a:ln>
                        <a:effectLst>
                          <a:outerShdw dist="107763" dir="2699999" algn="ctr" rotWithShape="0">
                            <a:srgbClr val="0070C0">
                              <a:alpha val="50000"/>
                            </a:srgbClr>
                          </a:outerShdw>
                        </a:effectLst>
                      </wps:spPr>
                      <wps:txbx>
                        <w:txbxContent>
                          <w:p w:rsidR="000B33C0" w:rsidRDefault="000B33C0" w:rsidP="000B33C0">
                            <w:pPr>
                              <w:pStyle w:val="1"/>
                              <w:jc w:val="center"/>
                              <w:rPr>
                                <w:rFonts w:asciiTheme="minorEastAsia" w:eastAsiaTheme="minorEastAsia" w:hAnsiTheme="minorEastAsia"/>
                                <w:color w:val="000000" w:themeColor="text1"/>
                                <w:spacing w:val="34"/>
                                <w:kern w:val="40"/>
                                <w:position w:val="10"/>
                                <w:sz w:val="32"/>
                                <w:szCs w:val="32"/>
                              </w:rPr>
                            </w:pPr>
                            <w:r>
                              <w:rPr>
                                <w:rFonts w:asciiTheme="minorEastAsia" w:eastAsiaTheme="minorEastAsia" w:hAnsiTheme="minorEastAsia" w:hint="eastAsia"/>
                                <w:color w:val="000000" w:themeColor="text1"/>
                                <w:spacing w:val="34"/>
                                <w:kern w:val="40"/>
                                <w:position w:val="10"/>
                                <w:sz w:val="32"/>
                                <w:szCs w:val="32"/>
                              </w:rPr>
                              <w:t>企业跟踪</w:t>
                            </w:r>
                          </w:p>
                        </w:txbxContent>
                      </wps:txbx>
                      <wps:bodyPr upright="1"/>
                    </wps:wsp>
                  </a:graphicData>
                </a:graphic>
              </wp:anchor>
            </w:drawing>
          </mc:Choice>
          <mc:Fallback>
            <w:pict>
              <v:roundrect w14:anchorId="787B1E34" id="自选图形 59" o:spid="_x0000_s1028" style="position:absolute;margin-left:60pt;margin-top:7.1pt;width:265.4pt;height:47.05pt;z-index:25166438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" strokecolor="#e6e6e6" strokeweight="3pt">
                <v:shadow on="t" color="#0070c0" opacity=".5" offset="6pt,6pt"/>
                <v:textbox>
                  <w:txbxContent>
                    <w:p w:rsidR="000B33C0" w:rsidRDefault="000B33C0" w:rsidP="000B33C0">
                      <w:pPr>
                        <w:pStyle w:val="1"/>
                        <w:jc w:val="center"/>
                        <w:rPr>
                          <w:rFonts w:asciiTheme="minorEastAsia" w:eastAsiaTheme="minorEastAsia" w:hAnsiTheme="minorEastAsia"/>
                          <w:color w:val="000000" w:themeColor="text1"/>
                          <w:spacing w:val="34"/>
                          <w:kern w:val="40"/>
                          <w:position w:val="10"/>
                          <w:sz w:val="32"/>
                          <w:szCs w:val="32"/>
                        </w:rPr>
                      </w:pPr>
                      <w:r>
                        <w:rPr>
                          <w:rFonts w:asciiTheme="minorEastAsia" w:eastAsiaTheme="minorEastAsia" w:hAnsiTheme="minorEastAsia" w:hint="eastAsia"/>
                          <w:color w:val="000000" w:themeColor="text1"/>
                          <w:spacing w:val="34"/>
                          <w:kern w:val="40"/>
                          <w:position w:val="10"/>
                          <w:sz w:val="32"/>
                          <w:szCs w:val="32"/>
                        </w:rPr>
                        <w:t>企业跟踪</w:t>
                      </w:r>
                    </w:p>
                  </w:txbxContent>
                </v:textbox>
              </v:roundrect>
            </w:pict>
          </mc:Fallback>
        </mc:AlternateContent>
      </w:r>
    </w:p>
    <w:p w:rsidR="000B33C0" w:rsidRDefault="000B33C0" w:rsidP="000B33C0">
      <w:pPr>
        <w:rPr>
          <w:b/>
        </w:rPr>
      </w:pPr>
    </w:p>
    <w:p w:rsidR="009766C9" w:rsidRDefault="009766C9" w:rsidP="009766C9">
      <w:pPr>
        <w:rPr>
          <w:b/>
        </w:rPr>
      </w:pPr>
    </w:p>
    <w:p w:rsidR="002F4A62" w:rsidRPr="009766C9" w:rsidRDefault="00A42601" w:rsidP="009766C9">
      <w:pPr>
        <w:rPr>
          <w:b/>
        </w:rPr>
      </w:pPr>
      <w:r w:rsidRPr="009766C9">
        <w:rPr>
          <w:rFonts w:hint="eastAsia"/>
          <w:b/>
        </w:rPr>
        <w:t>宁德时代/松下/LG化学/三星SDI大比拼 孰胜孰负？</w:t>
      </w:r>
    </w:p>
    <w:p w:rsidR="00A42601" w:rsidRPr="009766C9" w:rsidRDefault="00A42601" w:rsidP="009766C9">
      <w:r w:rsidRPr="009766C9">
        <w:t>最近，瑞士银行（UBS）又发布了一份关于全球动力电池巨头松下、LG 化学、三星SDI和宁德时代的研究报告，并预测LG化学将在2025年成为全球电池制造商之首。</w:t>
      </w:r>
    </w:p>
    <w:p w:rsidR="00A42601" w:rsidRPr="009766C9" w:rsidRDefault="00A42601" w:rsidP="009766C9">
      <w:r w:rsidRPr="009766C9">
        <w:t>报告预计，未来全球动力电池市场的需求将会激增。全球新能源</w:t>
      </w:r>
      <w:hyperlink r:id="rId20" w:tgtFrame="_blank" w:tooltip="电动汽车" w:history="1">
        <w:r w:rsidRPr="009766C9">
          <w:rPr>
            <w:rStyle w:val="a7"/>
            <w:rFonts w:asciiTheme="minorEastAsia" w:eastAsiaTheme="minorEastAsia" w:hAnsiTheme="minorEastAsia"/>
            <w:color w:val="000000" w:themeColor="text1"/>
            <w:szCs w:val="24"/>
            <w:u w:val="none"/>
          </w:rPr>
          <w:t>电动汽车</w:t>
        </w:r>
      </w:hyperlink>
      <w:r w:rsidRPr="009766C9">
        <w:t>的销量将从2018年的180万辆提升至2025年的1750万辆。而电动汽车电池的需求量将增长9．5倍，预计从2018年的93GWh提升至2025年的973GWh（相当于19个</w:t>
      </w:r>
      <w:hyperlink r:id="rId21" w:tgtFrame="_blank" w:tooltip="特斯拉" w:history="1">
        <w:r w:rsidRPr="009766C9">
          <w:rPr>
            <w:rStyle w:val="a7"/>
            <w:rFonts w:asciiTheme="minorEastAsia" w:eastAsiaTheme="minorEastAsia" w:hAnsiTheme="minorEastAsia"/>
            <w:color w:val="000000" w:themeColor="text1"/>
            <w:szCs w:val="24"/>
            <w:u w:val="none"/>
          </w:rPr>
          <w:t>特斯拉</w:t>
        </w:r>
      </w:hyperlink>
      <w:r w:rsidRPr="009766C9">
        <w:t>超级工厂的产量）。</w:t>
      </w:r>
    </w:p>
    <w:p w:rsidR="00A42601" w:rsidRPr="009766C9" w:rsidRDefault="00A42601" w:rsidP="009766C9">
      <w:pPr>
        <w:rPr>
          <w:rFonts w:cs="宋体" w:hint="eastAsia"/>
          <w:kern w:val="0"/>
        </w:rPr>
      </w:pPr>
    </w:p>
    <w:p w:rsidR="00EC6312" w:rsidRPr="009766C9" w:rsidRDefault="00A42601" w:rsidP="009766C9">
      <w:pPr>
        <w:rPr>
          <w:rFonts w:cs="宋体"/>
          <w:b/>
          <w:kern w:val="0"/>
        </w:rPr>
      </w:pPr>
      <w:r w:rsidRPr="009766C9">
        <w:rPr>
          <w:rFonts w:hint="eastAsia"/>
          <w:b/>
        </w:rPr>
        <w:t>国轩高科拟公开发行不超20亿元可转债 用于动力锂电池项目</w:t>
      </w:r>
    </w:p>
    <w:p w:rsidR="00E401EE" w:rsidRPr="009766C9" w:rsidRDefault="00A42601" w:rsidP="009766C9">
      <w:pPr>
        <w:rPr>
          <w:rFonts w:cs="宋体"/>
          <w:kern w:val="0"/>
        </w:rPr>
      </w:pPr>
      <w:r w:rsidRPr="009766C9">
        <w:rPr>
          <w:rFonts w:hint="eastAsia"/>
        </w:rPr>
        <w:t>12月7日晚，国轩高发布公告称，公司拟公开发行总额不超过20亿元的可转换公司债券。扣除发行费用后的募集资金净额将全部用于</w:t>
      </w:r>
      <w:hyperlink r:id="rId22" w:tgtFrame="_blank" w:tooltip="动力锂电池" w:history="1">
        <w:r w:rsidRPr="009766C9">
          <w:rPr>
            <w:rStyle w:val="a7"/>
            <w:rFonts w:asciiTheme="minorEastAsia" w:eastAsiaTheme="minorEastAsia" w:hAnsiTheme="minorEastAsia"/>
            <w:color w:val="000000" w:themeColor="text1"/>
            <w:szCs w:val="24"/>
            <w:u w:val="none"/>
          </w:rPr>
          <w:t>动力锂电池</w:t>
        </w:r>
      </w:hyperlink>
      <w:r w:rsidRPr="009766C9">
        <w:rPr>
          <w:rFonts w:hint="eastAsia"/>
        </w:rPr>
        <w:t>产业化项目、国轩南京年产15GWh动力电池系统生产线及配套建设项目（一期5GWh）、庐江国轩新能源年产2GWh动力</w:t>
      </w:r>
      <w:hyperlink r:id="rId23" w:tgtFrame="_blank" w:tooltip="锂电池" w:history="1">
        <w:r w:rsidRPr="009766C9">
          <w:rPr>
            <w:rStyle w:val="a7"/>
            <w:rFonts w:asciiTheme="minorEastAsia" w:eastAsiaTheme="minorEastAsia" w:hAnsiTheme="minorEastAsia"/>
            <w:color w:val="000000" w:themeColor="text1"/>
            <w:szCs w:val="24"/>
            <w:u w:val="none"/>
          </w:rPr>
          <w:t>锂电池</w:t>
        </w:r>
      </w:hyperlink>
      <w:r w:rsidRPr="009766C9">
        <w:rPr>
          <w:rFonts w:hint="eastAsia"/>
        </w:rPr>
        <w:t>产业化项目和补充流动资金。</w:t>
      </w:r>
    </w:p>
    <w:p w:rsidR="00E401EE" w:rsidRPr="009766C9" w:rsidRDefault="00E401EE" w:rsidP="009766C9">
      <w:pPr>
        <w:rPr>
          <w:rFonts w:cs="宋体"/>
          <w:kern w:val="0"/>
        </w:rPr>
      </w:pPr>
    </w:p>
    <w:p w:rsidR="00E401EE" w:rsidRPr="009766C9" w:rsidRDefault="00A42601" w:rsidP="009766C9">
      <w:pPr>
        <w:rPr>
          <w:rFonts w:cs="宋体"/>
          <w:b/>
          <w:kern w:val="0"/>
        </w:rPr>
      </w:pPr>
      <w:r w:rsidRPr="009766C9">
        <w:rPr>
          <w:rFonts w:hint="eastAsia"/>
          <w:b/>
        </w:rPr>
        <w:t>比亚迪电池板块谋独立上市 “独角兽”路上宁德时代不再孤独</w:t>
      </w:r>
    </w:p>
    <w:p w:rsidR="00E401EE" w:rsidRPr="009766C9" w:rsidRDefault="00A42601" w:rsidP="009766C9">
      <w:pPr>
        <w:rPr>
          <w:rFonts w:cs="宋体"/>
          <w:kern w:val="0"/>
        </w:rPr>
      </w:pPr>
      <w:r w:rsidRPr="009766C9">
        <w:rPr>
          <w:rFonts w:hint="eastAsia"/>
        </w:rPr>
        <w:t>被传多次要拆分上市的比亚迪电池板块，其上市进度再次得到了比亚迪董事长王传福的确认</w:t>
      </w:r>
      <w:r w:rsidRPr="009766C9">
        <w:rPr>
          <w:rFonts w:hint="eastAsia"/>
        </w:rPr>
        <w:t>。</w:t>
      </w:r>
    </w:p>
    <w:p w:rsidR="00E401EE" w:rsidRPr="009766C9" w:rsidRDefault="00E401EE" w:rsidP="009766C9">
      <w:pPr>
        <w:rPr>
          <w:rFonts w:cs="宋体"/>
          <w:kern w:val="0"/>
        </w:rPr>
      </w:pPr>
    </w:p>
    <w:p w:rsidR="00A42601" w:rsidRPr="009766C9" w:rsidRDefault="00A42601" w:rsidP="009766C9">
      <w:pPr>
        <w:rPr>
          <w:rFonts w:cs="宋体"/>
          <w:b/>
          <w:kern w:val="0"/>
        </w:rPr>
      </w:pPr>
      <w:r w:rsidRPr="009766C9">
        <w:rPr>
          <w:rFonts w:hint="eastAsia"/>
          <w:b/>
        </w:rPr>
        <w:t>三星拟在天津投建动力电池和MLCC项目 投资24亿美元</w:t>
      </w:r>
    </w:p>
    <w:p w:rsidR="00A42601" w:rsidRPr="009766C9" w:rsidRDefault="00A42601" w:rsidP="009766C9">
      <w:pPr>
        <w:rPr>
          <w:rFonts w:cs="宋体"/>
          <w:kern w:val="0"/>
        </w:rPr>
      </w:pPr>
      <w:r w:rsidRPr="009766C9">
        <w:rPr>
          <w:rFonts w:hint="eastAsia"/>
        </w:rPr>
        <w:t>据新华社报道，三星拟在天津调整部分产品结构，同时投资建设全球领先的动力电池生产线和车用MLCC工厂（多层陶瓷电容器）等新项目，新增投资达24亿美元。</w:t>
      </w:r>
    </w:p>
    <w:p w:rsidR="00A42601" w:rsidRPr="009766C9" w:rsidRDefault="00A42601" w:rsidP="009766C9">
      <w:pPr>
        <w:rPr>
          <w:rFonts w:cs="宋体"/>
          <w:kern w:val="0"/>
        </w:rPr>
      </w:pPr>
    </w:p>
    <w:p w:rsidR="00A42601" w:rsidRPr="009766C9" w:rsidRDefault="00A42601" w:rsidP="009766C9">
      <w:pPr>
        <w:rPr>
          <w:rFonts w:cs="宋体"/>
          <w:b/>
          <w:kern w:val="0"/>
        </w:rPr>
      </w:pPr>
      <w:r w:rsidRPr="009766C9">
        <w:rPr>
          <w:rFonts w:hint="eastAsia"/>
          <w:b/>
        </w:rPr>
        <w:t>因电池安全隐患 江淮汽车召回4248辆iEV5纯电动汽车</w:t>
      </w:r>
    </w:p>
    <w:p w:rsidR="00A42601" w:rsidRPr="009766C9" w:rsidRDefault="00A42601" w:rsidP="009766C9">
      <w:pPr>
        <w:rPr>
          <w:rFonts w:cs="宋体"/>
          <w:kern w:val="0"/>
        </w:rPr>
      </w:pPr>
      <w:r w:rsidRPr="009766C9">
        <w:rPr>
          <w:rFonts w:hint="eastAsia"/>
        </w:rPr>
        <w:t>本次召回范围内部分车辆，电池包电气部件由于生产波动，在车辆使用过程中可能发生局部过热，导致电池热失控，存在安全隐患。</w:t>
      </w:r>
    </w:p>
    <w:p w:rsidR="00A42601" w:rsidRPr="009766C9" w:rsidRDefault="00A42601" w:rsidP="009766C9">
      <w:pPr>
        <w:rPr>
          <w:rFonts w:cs="宋体"/>
          <w:kern w:val="0"/>
        </w:rPr>
      </w:pPr>
    </w:p>
    <w:p w:rsidR="00A42601" w:rsidRPr="009766C9" w:rsidRDefault="00A42601" w:rsidP="009766C9">
      <w:pPr>
        <w:rPr>
          <w:rFonts w:cs="宋体"/>
          <w:b/>
          <w:kern w:val="0"/>
        </w:rPr>
      </w:pPr>
      <w:r w:rsidRPr="009766C9">
        <w:rPr>
          <w:rFonts w:hint="eastAsia"/>
          <w:b/>
        </w:rPr>
        <w:t>沧州明珠：湿法隔膜产品已批量供应宁德时代</w:t>
      </w:r>
    </w:p>
    <w:p w:rsidR="00A42601" w:rsidRPr="009766C9" w:rsidRDefault="00A42601" w:rsidP="009766C9">
      <w:pPr>
        <w:rPr>
          <w:rFonts w:cs="宋体"/>
          <w:kern w:val="0"/>
        </w:rPr>
      </w:pPr>
      <w:r w:rsidRPr="009766C9">
        <w:rPr>
          <w:rFonts w:hint="eastAsia"/>
        </w:rPr>
        <w:t>近日，沧州明珠在投资者关系活动中表示，目前，公司湿法隔膜产品已顺利导入宁德时代，实现了批量供应。2019年随着新增产能的释放，公司也会积极开拓新客户。</w:t>
      </w:r>
    </w:p>
    <w:p w:rsidR="00A42601" w:rsidRPr="009766C9" w:rsidRDefault="00A42601" w:rsidP="009766C9">
      <w:pPr>
        <w:rPr>
          <w:rFonts w:cs="宋体"/>
          <w:kern w:val="0"/>
        </w:rPr>
      </w:pPr>
    </w:p>
    <w:p w:rsidR="00A42601" w:rsidRPr="009766C9" w:rsidRDefault="00C435E1" w:rsidP="009766C9">
      <w:pPr>
        <w:rPr>
          <w:rFonts w:cs="宋体"/>
          <w:b/>
          <w:kern w:val="0"/>
        </w:rPr>
      </w:pPr>
      <w:r w:rsidRPr="009766C9">
        <w:rPr>
          <w:rFonts w:hint="eastAsia"/>
          <w:b/>
        </w:rPr>
        <w:t>比亚迪首发IGBT4.0 打造电动汽车“中国芯”</w:t>
      </w:r>
    </w:p>
    <w:p w:rsidR="00A42601" w:rsidRPr="009766C9" w:rsidRDefault="00C435E1" w:rsidP="009766C9">
      <w:pPr>
        <w:rPr>
          <w:rFonts w:cs="宋体"/>
          <w:kern w:val="0"/>
        </w:rPr>
      </w:pPr>
      <w:r w:rsidRPr="009766C9">
        <w:rPr>
          <w:rFonts w:hint="eastAsia"/>
        </w:rPr>
        <w:t>IGBT是新能源汽车最核心的技术,其好坏直接影响电动车功率的释放速度:直接</w:t>
      </w:r>
      <w:r w:rsidRPr="009766C9">
        <w:rPr>
          <w:rFonts w:hint="eastAsia"/>
        </w:rPr>
        <w:lastRenderedPageBreak/>
        <w:t>控制直、交流电的转换,同时对交流电机进行变频控制,决定驱动系统的扭矩(直接影响汽车加速能力)、最大输出功率(直接影响汽车最高时速)等,被认为是电力电子装置的“CPU”。</w:t>
      </w:r>
    </w:p>
    <w:p w:rsidR="00A42601" w:rsidRPr="009766C9" w:rsidRDefault="00A42601" w:rsidP="009766C9">
      <w:pPr>
        <w:rPr>
          <w:rFonts w:cs="宋体"/>
          <w:kern w:val="0"/>
        </w:rPr>
      </w:pPr>
    </w:p>
    <w:p w:rsidR="00A42601" w:rsidRPr="009766C9" w:rsidRDefault="00C435E1" w:rsidP="009766C9">
      <w:pPr>
        <w:rPr>
          <w:rFonts w:cs="宋体"/>
          <w:b/>
          <w:kern w:val="0"/>
        </w:rPr>
      </w:pPr>
      <w:r w:rsidRPr="009766C9">
        <w:rPr>
          <w:rFonts w:hint="eastAsia"/>
          <w:b/>
        </w:rPr>
        <w:t>200亿欧！戴姆勒电动车电池采购大单将花落谁家？</w:t>
      </w:r>
    </w:p>
    <w:p w:rsidR="00A42601" w:rsidRPr="009766C9" w:rsidRDefault="00C435E1" w:rsidP="009766C9">
      <w:pPr>
        <w:rPr>
          <w:rFonts w:cs="宋体"/>
          <w:kern w:val="0"/>
        </w:rPr>
      </w:pPr>
      <w:r w:rsidRPr="009766C9">
        <w:rPr>
          <w:rFonts w:hint="eastAsia"/>
        </w:rPr>
        <w:t>当地时间12月11日，德国豪华车制造商戴姆勒表示，随着该公司准备批量生产插电式混合动力车以及纯电动汽车，计划到2030年购买价值逾200亿欧元（227．5亿美元）的电池。</w:t>
      </w:r>
    </w:p>
    <w:p w:rsidR="00A42601" w:rsidRPr="009766C9" w:rsidRDefault="00A42601" w:rsidP="009766C9">
      <w:pPr>
        <w:rPr>
          <w:rFonts w:cs="宋体"/>
          <w:kern w:val="0"/>
        </w:rPr>
      </w:pPr>
    </w:p>
    <w:p w:rsidR="00A42601" w:rsidRPr="009766C9" w:rsidRDefault="00C435E1" w:rsidP="009766C9">
      <w:pPr>
        <w:rPr>
          <w:rFonts w:cs="宋体"/>
          <w:b/>
          <w:kern w:val="0"/>
        </w:rPr>
      </w:pPr>
      <w:r w:rsidRPr="009766C9">
        <w:rPr>
          <w:rFonts w:hint="eastAsia"/>
          <w:b/>
        </w:rPr>
        <w:t>宁德时代美国子公司最近在底特律成立</w:t>
      </w:r>
    </w:p>
    <w:p w:rsidR="00A42601" w:rsidRPr="009766C9" w:rsidRDefault="00C435E1" w:rsidP="009766C9">
      <w:pPr>
        <w:rPr>
          <w:rFonts w:cs="宋体"/>
          <w:kern w:val="0"/>
        </w:rPr>
      </w:pPr>
      <w:r w:rsidRPr="009766C9">
        <w:rPr>
          <w:rFonts w:hint="eastAsia"/>
        </w:rPr>
        <w:t>美国当地时间12月6日，全球领先的锂离子动力电池制造商宁德时代美国子公司在底特律市正式成立。</w:t>
      </w:r>
    </w:p>
    <w:p w:rsidR="00A42601" w:rsidRPr="009766C9" w:rsidRDefault="00A42601" w:rsidP="009766C9">
      <w:pPr>
        <w:rPr>
          <w:rFonts w:cs="宋体" w:hint="eastAsia"/>
          <w:kern w:val="0"/>
        </w:rPr>
      </w:pPr>
    </w:p>
    <w:p w:rsidR="00E401EE" w:rsidRPr="009766C9" w:rsidRDefault="00C435E1" w:rsidP="009766C9">
      <w:pPr>
        <w:rPr>
          <w:rFonts w:cs="宋体"/>
          <w:b/>
          <w:kern w:val="0"/>
        </w:rPr>
      </w:pPr>
      <w:r w:rsidRPr="009766C9">
        <w:rPr>
          <w:rFonts w:hint="eastAsia"/>
          <w:b/>
        </w:rPr>
        <w:t>沃尔沃客车参与瑞典废旧电池储能研发项目</w:t>
      </w:r>
    </w:p>
    <w:p w:rsidR="00E401EE" w:rsidRPr="009766C9" w:rsidRDefault="00C435E1" w:rsidP="009766C9">
      <w:pPr>
        <w:rPr>
          <w:rFonts w:cs="宋体" w:hint="eastAsia"/>
          <w:kern w:val="0"/>
        </w:rPr>
      </w:pPr>
      <w:r w:rsidRPr="009766C9">
        <w:rPr>
          <w:rFonts w:hint="eastAsia"/>
        </w:rPr>
        <w:t>沃尔沃客车参与了一项研发项目，将废旧客车电池用作太阳能储能装置。目前，瑞典哥德堡（Gothenburg）55路电动客车的废旧电池用于太阳能储能装置。</w:t>
      </w:r>
    </w:p>
    <w:p w:rsidR="00EC6312" w:rsidRPr="009766C9" w:rsidRDefault="00EC6312" w:rsidP="009766C9">
      <w:pPr>
        <w:rPr>
          <w:rFonts w:cs="宋体"/>
          <w:kern w:val="0"/>
        </w:rPr>
      </w:pPr>
    </w:p>
    <w:p w:rsidR="00EC6312" w:rsidRPr="009766C9" w:rsidRDefault="009766C9" w:rsidP="009766C9">
      <w:pPr>
        <w:rPr>
          <w:rFonts w:cs="宋体"/>
          <w:b/>
          <w:kern w:val="0"/>
        </w:rPr>
      </w:pPr>
      <w:r w:rsidRPr="009766C9">
        <w:rPr>
          <w:rFonts w:hint="eastAsia"/>
          <w:b/>
        </w:rPr>
        <w:t>格林美及其他电池公司相继停止从嘉能可采购钴</w:t>
      </w:r>
    </w:p>
    <w:p w:rsidR="009766C9" w:rsidRPr="009766C9" w:rsidRDefault="009766C9" w:rsidP="009766C9">
      <w:pPr>
        <w:rPr>
          <w:rFonts w:cs="宋体"/>
          <w:kern w:val="0"/>
        </w:rPr>
      </w:pPr>
      <w:r w:rsidRPr="009766C9">
        <w:rPr>
          <w:rFonts w:hint="eastAsia"/>
        </w:rPr>
        <w:t>知情人士称，中国电池公司GEM已停止从嘉能可（Glencore）购买钴，因为这种电池材料的价格跌破了两家公司达成的三年协议。</w:t>
      </w:r>
    </w:p>
    <w:p w:rsidR="009766C9" w:rsidRDefault="009766C9" w:rsidP="008254CB">
      <w:pPr>
        <w:widowControl/>
        <w:spacing w:line="360" w:lineRule="auto"/>
        <w:rPr>
          <w:rFonts w:asciiTheme="minorEastAsia" w:eastAsiaTheme="minorEastAsia" w:hAnsiTheme="minorEastAsia" w:cs="宋体" w:hint="eastAsia"/>
          <w:b/>
          <w:color w:val="333333"/>
          <w:kern w:val="0"/>
          <w:szCs w:val="24"/>
        </w:rPr>
      </w:pPr>
    </w:p>
    <w:p w:rsidR="000B33C0" w:rsidRDefault="000B33C0" w:rsidP="000B33C0">
      <w:r>
        <w:rPr>
          <w:noProof/>
        </w:rPr>
        <mc:AlternateContent>
          <mc:Choice Requires="wps">
            <w:drawing>
              <wp:anchor distT="0" distB="0" distL="114300" distR="114300" simplePos="0" relativeHeight="251666432" behindDoc="0" locked="0" layoutInCell="1" allowOverlap="1" wp14:anchorId="44519483" wp14:editId="08BB4427">
                <wp:simplePos x="0" y="0"/>
                <wp:positionH relativeFrom="column">
                  <wp:posOffset>822960</wp:posOffset>
                </wp:positionH>
                <wp:positionV relativeFrom="paragraph">
                  <wp:posOffset>179705</wp:posOffset>
                </wp:positionV>
                <wp:extent cx="3370580" cy="597535"/>
                <wp:effectExtent l="19050" t="19050" r="96520" b="107315"/>
                <wp:wrapNone/>
                <wp:docPr id="23" name="自选图形 59"/>
                <wp:cNvGraphicFramePr/>
                <a:graphic xmlns:a="http://schemas.openxmlformats.org/drawingml/2006/main">
                  <a:graphicData uri="http://schemas.microsoft.com/office/word/2010/wordprocessingShape">
                    <wps:wsp>
                      <wps:cNvSpPr/>
                      <wps:spPr>
                        <a:xfrm>
                          <a:off x="0" y="0"/>
                          <a:ext cx="3370580" cy="597535"/>
                        </a:xfrm>
                        <a:prstGeom prst="roundRect">
                          <a:avLst>
                            <a:gd name="adj" fmla="val 16667"/>
                          </a:avLst>
                        </a:prstGeom>
                        <a:solidFill>
                          <a:srgbClr val="FFFFFF"/>
                        </a:solidFill>
                        <a:ln w="38100" cap="flat" cmpd="sng">
                          <a:solidFill>
                            <a:srgbClr val="F2F2F2">
                              <a:lumMod val="95000"/>
                            </a:srgbClr>
                          </a:solidFill>
                          <a:prstDash val="solid"/>
                          <a:headEnd type="none" w="med" len="med"/>
                          <a:tailEnd type="none" w="med" len="med"/>
                        </a:ln>
                        <a:effectLst>
                          <a:outerShdw dist="107763" dir="2699999" algn="ctr" rotWithShape="0">
                            <a:srgbClr val="0070C0">
                              <a:alpha val="50000"/>
                            </a:srgbClr>
                          </a:outerShdw>
                        </a:effectLst>
                      </wps:spPr>
                      <wps:txbx>
                        <w:txbxContent>
                          <w:p w:rsidR="000B33C0" w:rsidRDefault="000B33C0" w:rsidP="000B33C0">
                            <w:pPr>
                              <w:pStyle w:val="1"/>
                              <w:jc w:val="center"/>
                              <w:rPr>
                                <w:rFonts w:asciiTheme="minorEastAsia" w:eastAsiaTheme="minorEastAsia" w:hAnsiTheme="minorEastAsia"/>
                                <w:color w:val="000000" w:themeColor="text1"/>
                                <w:spacing w:val="34"/>
                                <w:kern w:val="40"/>
                                <w:position w:val="10"/>
                                <w:sz w:val="32"/>
                                <w:szCs w:val="32"/>
                              </w:rPr>
                            </w:pPr>
                            <w:r>
                              <w:rPr>
                                <w:rFonts w:asciiTheme="minorEastAsia" w:eastAsiaTheme="minorEastAsia" w:hAnsiTheme="minorEastAsia" w:hint="eastAsia"/>
                                <w:color w:val="000000" w:themeColor="text1"/>
                                <w:spacing w:val="34"/>
                                <w:kern w:val="40"/>
                                <w:position w:val="10"/>
                                <w:sz w:val="32"/>
                                <w:szCs w:val="32"/>
                              </w:rPr>
                              <w:t>高新技术</w:t>
                            </w:r>
                          </w:p>
                        </w:txbxContent>
                      </wps:txbx>
                      <wps:bodyPr upright="1"/>
                    </wps:wsp>
                  </a:graphicData>
                </a:graphic>
              </wp:anchor>
            </w:drawing>
          </mc:Choice>
          <mc:Fallback>
            <w:pict>
              <v:roundrect w14:anchorId="44519483" id="_x0000_s1029" style="position:absolute;left:0;text-align:left;margin-left:64.8pt;margin-top:14.15pt;width:265.4pt;height:47.05pt;z-index:251666432;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" strokecolor="#e6e6e6" strokeweight="3pt">
                <v:shadow on="t" color="#0070c0" opacity=".5" offset="6pt,6pt"/>
                <v:textbox>
                  <w:txbxContent>
                    <w:p w:rsidR="000B33C0" w:rsidRDefault="000B33C0" w:rsidP="000B33C0">
                      <w:pPr>
                        <w:pStyle w:val="1"/>
                        <w:jc w:val="center"/>
                        <w:rPr>
                          <w:rFonts w:asciiTheme="minorEastAsia" w:eastAsiaTheme="minorEastAsia" w:hAnsiTheme="minorEastAsia"/>
                          <w:color w:val="000000" w:themeColor="text1"/>
                          <w:spacing w:val="34"/>
                          <w:kern w:val="40"/>
                          <w:position w:val="10"/>
                          <w:sz w:val="32"/>
                          <w:szCs w:val="32"/>
                        </w:rPr>
                      </w:pPr>
                      <w:r>
                        <w:rPr>
                          <w:rFonts w:asciiTheme="minorEastAsia" w:eastAsiaTheme="minorEastAsia" w:hAnsiTheme="minorEastAsia" w:hint="eastAsia"/>
                          <w:color w:val="000000" w:themeColor="text1"/>
                          <w:spacing w:val="34"/>
                          <w:kern w:val="40"/>
                          <w:position w:val="10"/>
                          <w:sz w:val="32"/>
                          <w:szCs w:val="32"/>
                        </w:rPr>
                        <w:t>高新技术</w:t>
                      </w:r>
                    </w:p>
                  </w:txbxContent>
                </v:textbox>
              </v:roundrect>
            </w:pict>
          </mc:Fallback>
        </mc:AlternateContent>
      </w:r>
    </w:p>
    <w:p w:rsidR="000B33C0" w:rsidRDefault="000B33C0" w:rsidP="000B33C0">
      <w:pPr>
        <w:rPr>
          <w:b/>
        </w:rPr>
      </w:pPr>
    </w:p>
    <w:p w:rsidR="000B33C0" w:rsidRDefault="000B33C0" w:rsidP="000B33C0">
      <w:pPr>
        <w:rPr>
          <w:b/>
        </w:rPr>
      </w:pPr>
    </w:p>
    <w:p w:rsidR="000B33C0" w:rsidRDefault="000B33C0" w:rsidP="000B33C0">
      <w:pPr>
        <w:spacing w:line="360" w:lineRule="auto"/>
        <w:rPr>
          <w:b/>
        </w:rPr>
      </w:pPr>
    </w:p>
    <w:p w:rsidR="009766C9" w:rsidRDefault="009766C9" w:rsidP="009766C9">
      <w:pPr>
        <w:rPr>
          <w:rFonts w:asciiTheme="minorEastAsia" w:eastAsiaTheme="minorEastAsia" w:hAnsiTheme="minorEastAsia"/>
          <w:color w:val="000000" w:themeColor="text1"/>
          <w:szCs w:val="24"/>
        </w:rPr>
      </w:pPr>
    </w:p>
    <w:p w:rsidR="009A070C" w:rsidRPr="009766C9" w:rsidRDefault="00A42601" w:rsidP="009766C9">
      <w:pPr>
        <w:rPr>
          <w:rFonts w:asciiTheme="minorEastAsia" w:eastAsiaTheme="minorEastAsia" w:hAnsiTheme="minorEastAsia" w:cs="宋体"/>
          <w:b/>
          <w:color w:val="000000" w:themeColor="text1"/>
          <w:kern w:val="0"/>
          <w:szCs w:val="24"/>
        </w:rPr>
      </w:pPr>
      <w:r w:rsidRPr="009766C9">
        <w:rPr>
          <w:rFonts w:asciiTheme="minorEastAsia" w:eastAsiaTheme="minorEastAsia" w:hAnsiTheme="minorEastAsia" w:hint="eastAsia"/>
          <w:b/>
          <w:color w:val="000000" w:themeColor="text1"/>
          <w:szCs w:val="24"/>
        </w:rPr>
        <w:t>新技术：利用采矿废弃物制作锂电池 磷酸三锂可降低电池成本</w:t>
      </w:r>
    </w:p>
    <w:p w:rsidR="00E401EE" w:rsidRPr="009766C9" w:rsidRDefault="00A42601" w:rsidP="009766C9">
      <w:pPr>
        <w:rPr>
          <w:rFonts w:asciiTheme="minorEastAsia" w:eastAsiaTheme="minorEastAsia" w:hAnsiTheme="minorEastAsia" w:cs="宋体"/>
          <w:color w:val="000000" w:themeColor="text1"/>
          <w:kern w:val="0"/>
          <w:szCs w:val="24"/>
        </w:rPr>
      </w:pPr>
      <w:r w:rsidRPr="009766C9">
        <w:rPr>
          <w:rFonts w:asciiTheme="minorEastAsia" w:eastAsiaTheme="minorEastAsia" w:hAnsiTheme="minorEastAsia" w:hint="eastAsia"/>
          <w:color w:val="000000" w:themeColor="text1"/>
          <w:szCs w:val="24"/>
        </w:rPr>
        <w:t>据外媒报道，Lithium Australia公司雄心勃勃，想要利用采矿废弃物来制造锂电池。该公司于上周宣布，其锂离子电池完全由采矿废弃物（mining waste）制作，属于全球首例。</w:t>
      </w:r>
    </w:p>
    <w:p w:rsidR="00E401EE" w:rsidRPr="009766C9" w:rsidRDefault="00E401EE" w:rsidP="009766C9">
      <w:pPr>
        <w:rPr>
          <w:rFonts w:asciiTheme="minorEastAsia" w:eastAsiaTheme="minorEastAsia" w:hAnsiTheme="minorEastAsia" w:cs="宋体"/>
          <w:color w:val="000000" w:themeColor="text1"/>
          <w:kern w:val="0"/>
          <w:szCs w:val="24"/>
        </w:rPr>
      </w:pPr>
    </w:p>
    <w:p w:rsidR="00E401EE" w:rsidRPr="009766C9" w:rsidRDefault="00C435E1" w:rsidP="009766C9">
      <w:pPr>
        <w:rPr>
          <w:rFonts w:asciiTheme="minorEastAsia" w:eastAsiaTheme="minorEastAsia" w:hAnsiTheme="minorEastAsia" w:cs="宋体"/>
          <w:b/>
          <w:color w:val="000000" w:themeColor="text1"/>
          <w:kern w:val="0"/>
          <w:szCs w:val="24"/>
        </w:rPr>
      </w:pPr>
      <w:r w:rsidRPr="009766C9">
        <w:rPr>
          <w:rFonts w:asciiTheme="minorEastAsia" w:eastAsiaTheme="minorEastAsia" w:hAnsiTheme="minorEastAsia" w:hint="eastAsia"/>
          <w:b/>
          <w:color w:val="000000" w:themeColor="text1"/>
          <w:szCs w:val="24"/>
        </w:rPr>
        <w:t>长城首款氢燃料电池汽车或2022年面世</w:t>
      </w:r>
    </w:p>
    <w:p w:rsidR="00E401EE" w:rsidRPr="009766C9" w:rsidRDefault="00C435E1" w:rsidP="009766C9">
      <w:pPr>
        <w:rPr>
          <w:rFonts w:asciiTheme="minorEastAsia" w:eastAsiaTheme="minorEastAsia" w:hAnsiTheme="minorEastAsia" w:cs="宋体"/>
          <w:color w:val="000000" w:themeColor="text1"/>
          <w:kern w:val="0"/>
          <w:szCs w:val="24"/>
        </w:rPr>
      </w:pPr>
      <w:r w:rsidRPr="009766C9">
        <w:rPr>
          <w:rFonts w:asciiTheme="minorEastAsia" w:eastAsiaTheme="minorEastAsia" w:hAnsiTheme="minorEastAsia" w:hint="eastAsia"/>
          <w:color w:val="000000" w:themeColor="text1"/>
          <w:szCs w:val="24"/>
        </w:rPr>
        <w:t>12月10日，在WEY举行的两周年品牌发布会上，长城汽车董事长魏建军表示，未来将继续加大投入研发新能源汽车，2022年计划推出首款氢燃料电池汽车，2030年新能源汽车销量占比将达到50％。</w:t>
      </w:r>
    </w:p>
    <w:p w:rsidR="00E401EE" w:rsidRPr="009766C9" w:rsidRDefault="00E401EE" w:rsidP="009766C9">
      <w:pPr>
        <w:rPr>
          <w:rFonts w:asciiTheme="minorEastAsia" w:eastAsiaTheme="minorEastAsia" w:hAnsiTheme="minorEastAsia" w:cs="宋体"/>
          <w:color w:val="000000" w:themeColor="text1"/>
          <w:kern w:val="0"/>
          <w:szCs w:val="24"/>
        </w:rPr>
      </w:pPr>
    </w:p>
    <w:p w:rsidR="00E401EE" w:rsidRPr="009766C9" w:rsidRDefault="00C435E1" w:rsidP="009766C9">
      <w:pPr>
        <w:rPr>
          <w:rFonts w:asciiTheme="minorEastAsia" w:eastAsiaTheme="minorEastAsia" w:hAnsiTheme="minorEastAsia" w:cs="宋体"/>
          <w:b/>
          <w:color w:val="000000" w:themeColor="text1"/>
          <w:kern w:val="0"/>
          <w:szCs w:val="24"/>
        </w:rPr>
      </w:pPr>
      <w:r w:rsidRPr="009766C9">
        <w:rPr>
          <w:rFonts w:asciiTheme="minorEastAsia" w:eastAsiaTheme="minorEastAsia" w:hAnsiTheme="minorEastAsia" w:hint="eastAsia"/>
          <w:b/>
          <w:color w:val="000000" w:themeColor="text1"/>
          <w:szCs w:val="24"/>
        </w:rPr>
        <w:t>盐湖锂资源开发破技术瓶颈</w:t>
      </w:r>
    </w:p>
    <w:p w:rsidR="000B33C0" w:rsidRPr="009766C9" w:rsidRDefault="00C435E1" w:rsidP="009766C9">
      <w:pPr>
        <w:rPr>
          <w:rFonts w:asciiTheme="minorEastAsia" w:eastAsiaTheme="minorEastAsia" w:hAnsiTheme="minorEastAsia" w:cs="宋体" w:hint="eastAsia"/>
          <w:color w:val="000000" w:themeColor="text1"/>
          <w:kern w:val="0"/>
          <w:szCs w:val="24"/>
        </w:rPr>
      </w:pPr>
      <w:r w:rsidRPr="009766C9">
        <w:rPr>
          <w:rFonts w:asciiTheme="minorEastAsia" w:eastAsiaTheme="minorEastAsia" w:hAnsiTheme="minorEastAsia" w:hint="eastAsia"/>
          <w:color w:val="000000" w:themeColor="text1"/>
          <w:szCs w:val="24"/>
        </w:rPr>
        <w:t>中国科学院青海盐湖研究所相关负责人介绍，一里坪盐湖卤水锂资源储量丰富，但其镁锂比高，锂资源品位低，制约了锂资源的开发和利用。</w:t>
      </w:r>
    </w:p>
    <w:p w:rsidR="000B33C0" w:rsidRDefault="000B33C0" w:rsidP="000B33C0">
      <w:pPr>
        <w:spacing w:line="360" w:lineRule="auto"/>
        <w:rPr>
          <w:b/>
        </w:rPr>
      </w:pPr>
    </w:p>
    <w:p w:rsidR="000B33C0" w:rsidRDefault="000B33C0" w:rsidP="000B33C0">
      <w:pPr>
        <w:spacing w:line="360" w:lineRule="auto"/>
        <w:rPr>
          <w:b/>
        </w:rPr>
      </w:pPr>
      <w:r>
        <w:rPr>
          <w:rFonts w:hint="eastAsia"/>
          <w:b/>
        </w:rPr>
        <w:t>信息来源：生意社</w:t>
      </w:r>
    </w:p>
    <w:p w:rsidR="000B33C0" w:rsidRDefault="000B33C0" w:rsidP="000B33C0">
      <w:pPr>
        <w:spacing w:line="360" w:lineRule="auto"/>
        <w:rPr>
          <w:b/>
        </w:rPr>
      </w:pPr>
      <w:r>
        <w:rPr>
          <w:rFonts w:hint="eastAsia"/>
          <w:b/>
        </w:rPr>
        <w:t xml:space="preserve">          OFWEEK锂电网</w:t>
      </w:r>
    </w:p>
    <w:p w:rsidR="000B33C0" w:rsidRDefault="000B33C0" w:rsidP="000B33C0">
      <w:pPr>
        <w:spacing w:line="360" w:lineRule="auto"/>
        <w:rPr>
          <w:b/>
        </w:rPr>
      </w:pPr>
      <w:r>
        <w:rPr>
          <w:rFonts w:hint="eastAsia"/>
          <w:b/>
        </w:rPr>
        <w:t xml:space="preserve">          金融界等</w:t>
      </w:r>
    </w:p>
    <w:p w:rsidR="000B33C0" w:rsidRDefault="000B33C0" w:rsidP="000B33C0">
      <w:pPr>
        <w:spacing w:line="360" w:lineRule="auto"/>
        <w:rPr>
          <w:b/>
        </w:rPr>
      </w:pPr>
    </w:p>
    <w:p w:rsidR="000B33C0" w:rsidRDefault="000B33C0" w:rsidP="000B33C0">
      <w:pPr>
        <w:spacing w:line="360" w:lineRule="auto"/>
        <w:rPr>
          <w:b/>
        </w:rPr>
      </w:pPr>
    </w:p>
    <w:p w:rsidR="000B33C0" w:rsidRDefault="000B33C0" w:rsidP="000B33C0">
      <w:pPr>
        <w:spacing w:line="360" w:lineRule="auto"/>
        <w:ind w:firstLineChars="200" w:firstLine="480"/>
        <w:rPr>
          <w:b/>
        </w:rPr>
      </w:pPr>
      <w:r>
        <w:rPr>
          <w:noProof/>
        </w:rPr>
        <w:drawing>
          <wp:inline distT="0" distB="0" distL="0" distR="0" wp14:anchorId="00E08F6D" wp14:editId="41EAE991">
            <wp:extent cx="4942840" cy="741680"/>
            <wp:effectExtent l="0" t="0" r="0" b="0"/>
            <wp:docPr id="4" name="图片 4" descr="http://newcdn.96weixin.com/c/mmbiz.qlogo.cn/mmbiz_png/fgnkxfGnnkQZKsfEiaKAKMiavDdiaVhEcheFPYyjl8SicH2KZMmw3aBo9HoibGFfWYR8QSmiaTwhk9OV7j2dghEFmdkA/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http://newcdn.96weixin.com/c/mmbiz.qlogo.cn/mmbiz_png/fgnkxfGnnkQZKsfEiaKAKMiavDdiaVhEcheFPYyjl8SicH2KZMmw3aBo9HoibGFfWYR8QSmiaTwhk9OV7j2dghEFmdkA/0?wx_fmt=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4942840" cy="741680"/>
                    </a:xfrm>
                    <a:prstGeom prst="rect">
                      <a:avLst/>
                    </a:prstGeom>
                    <a:noFill/>
                    <a:ln>
                      <a:noFill/>
                    </a:ln>
                  </pic:spPr>
                </pic:pic>
              </a:graphicData>
            </a:graphic>
          </wp:inline>
        </w:drawing>
      </w:r>
    </w:p>
    <w:p w:rsidR="000B33C0" w:rsidRDefault="000B33C0" w:rsidP="000B33C0">
      <w:pPr>
        <w:spacing w:line="360" w:lineRule="auto"/>
        <w:ind w:firstLineChars="200" w:firstLine="482"/>
        <w:rPr>
          <w:b/>
        </w:rPr>
      </w:pPr>
      <w:r>
        <w:rPr>
          <w:b/>
          <w:noProof/>
        </w:rPr>
        <mc:AlternateContent>
          <mc:Choice Requires="wps">
            <w:drawing>
              <wp:anchor distT="0" distB="0" distL="114300" distR="114300" simplePos="0" relativeHeight="251662336" behindDoc="0" locked="0" layoutInCell="1" allowOverlap="1" wp14:anchorId="5284F47F" wp14:editId="51A48E11">
                <wp:simplePos x="0" y="0"/>
                <wp:positionH relativeFrom="column">
                  <wp:posOffset>-1102995</wp:posOffset>
                </wp:positionH>
                <wp:positionV relativeFrom="paragraph">
                  <wp:posOffset>45720</wp:posOffset>
                </wp:positionV>
                <wp:extent cx="7458075" cy="1493520"/>
                <wp:effectExtent l="6350" t="6350" r="22225" b="24130"/>
                <wp:wrapNone/>
                <wp:docPr id="11" name="矩形 31"/>
                <wp:cNvGraphicFramePr/>
                <a:graphic xmlns:a="http://schemas.openxmlformats.org/drawingml/2006/main">
                  <a:graphicData uri="http://schemas.microsoft.com/office/word/2010/wordprocessingShape">
                    <wps:wsp>
                      <wps:cNvSpPr/>
                      <wps:spPr>
                        <a:xfrm>
                          <a:off x="0" y="0"/>
                          <a:ext cx="7458075" cy="1493520"/>
                        </a:xfrm>
                        <a:prstGeom prst="rect">
                          <a:avLst/>
                        </a:prstGeom>
                        <a:solidFill>
                          <a:srgbClr val="FFFFFF"/>
                        </a:solidFill>
                        <a:ln w="12700" cap="rnd" cmpd="sng">
                          <a:solidFill>
                            <a:srgbClr val="000000"/>
                          </a:solidFill>
                          <a:prstDash val="sysDot"/>
                          <a:miter/>
                          <a:headEnd type="none" w="med" len="med"/>
                          <a:tailEnd type="none" w="med" len="med"/>
                        </a:ln>
                        <a:effectLst/>
                      </wps:spPr>
                      <wps:txbx>
                        <w:txbxContent>
                          <w:p w:rsidR="000B33C0" w:rsidRDefault="000B33C0" w:rsidP="000B33C0">
                            <w:pPr>
                              <w:rPr>
                                <w:sz w:val="15"/>
                                <w:szCs w:val="15"/>
                              </w:rPr>
                            </w:pPr>
                            <w:r>
                              <w:rPr>
                                <w:rFonts w:hint="eastAsia"/>
                                <w:sz w:val="15"/>
                                <w:szCs w:val="15"/>
                              </w:rPr>
                              <w:t>免责声明：</w:t>
                            </w:r>
                          </w:p>
                          <w:p w:rsidR="000B33C0" w:rsidRDefault="000B33C0" w:rsidP="000B33C0">
                            <w:pPr>
                              <w:rPr>
                                <w:sz w:val="15"/>
                                <w:szCs w:val="15"/>
                              </w:rPr>
                            </w:pPr>
                            <w:r>
                              <w:rPr>
                                <w:rFonts w:hint="eastAsia"/>
                                <w:sz w:val="15"/>
                                <w:szCs w:val="15"/>
                              </w:rPr>
                              <w:t xml:space="preserve">本报告是基于上海联合矿权交易所认为可靠的已公开信息编制，但上海联合矿权交易所不保证所载信息的准确性和完整性。本报告所载的意见、评估及预测仅为本报告最初出具日的观点和判断，在任何情况下，本报告中的信息或所表述的意见并不构成对任何人的投资建议。本报告所载的资料、工具、意见及推测仅供参考，并非作为或被视为出售或购买证券或其他投资标的的邀请或向人做出邀请。 </w:t>
                            </w:r>
                          </w:p>
                          <w:p w:rsidR="000B33C0" w:rsidRDefault="000B33C0" w:rsidP="000B33C0">
                            <w:pPr>
                              <w:rPr>
                                <w:sz w:val="15"/>
                                <w:szCs w:val="15"/>
                              </w:rPr>
                            </w:pPr>
                            <w:r>
                              <w:rPr>
                                <w:rFonts w:hint="eastAsia"/>
                                <w:sz w:val="15"/>
                                <w:szCs w:val="15"/>
                              </w:rPr>
                              <w:t>本报告版权仅为上海联合矿权交易所所有。未经上海联合矿权交易所书面同意，任何机构和个人不得以任何形式翻版、复制、发布、转发或引用本报告的任何部分。若上海联合矿权交易所以外的机构向其客户发放本报告，则由该机构独自为此发送行为负责，上海联合矿权交易所对此等行为不承担任何责任。</w:t>
                            </w:r>
                          </w:p>
                          <w:p w:rsidR="000B33C0" w:rsidRDefault="000B33C0" w:rsidP="000B33C0">
                            <w:pPr>
                              <w:rPr>
                                <w:sz w:val="15"/>
                                <w:szCs w:val="15"/>
                              </w:rPr>
                            </w:pPr>
                            <w:r>
                              <w:rPr>
                                <w:rFonts w:hint="eastAsia"/>
                                <w:sz w:val="15"/>
                                <w:szCs w:val="15"/>
                              </w:rPr>
                              <w:t>如未经上海联合矿权交易所授权，私自转载或者转发本报告，所引起的一切后果及法律责任由私自转载或转发者承担。上海联合矿权交易所将保留随时追究其法律责任的权利。</w:t>
                            </w:r>
                          </w:p>
                          <w:p w:rsidR="000B33C0" w:rsidRDefault="000B33C0" w:rsidP="000B33C0">
                            <w:pPr>
                              <w:rPr>
                                <w:sz w:val="15"/>
                                <w:szCs w:val="15"/>
                              </w:rPr>
                            </w:pPr>
                          </w:p>
                        </w:txbxContent>
                      </wps:txbx>
                      <wps:bodyPr upright="1"/>
                    </wps:wsp>
                  </a:graphicData>
                </a:graphic>
              </wp:anchor>
            </w:drawing>
          </mc:Choice>
          <mc:Fallback>
            <w:pict>
              <v:rect w14:anchorId="5284F47F" id="矩形 31" o:spid="_x0000_s1030" style="position:absolute;left:0;text-align:left;margin-left:-86.85pt;margin-top:3.6pt;width:587.25pt;height:117.6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" strokeweight="1pt">
                <v:stroke dashstyle="1 1" endcap="round"/>
                <v:textbox>
                  <w:txbxContent>
                    <w:p w:rsidR="000B33C0" w:rsidRDefault="000B33C0" w:rsidP="000B33C0">
                      <w:pPr>
                        <w:rPr>
                          <w:sz w:val="15"/>
                          <w:szCs w:val="15"/>
                        </w:rPr>
                      </w:pPr>
                      <w:r>
                        <w:rPr>
                          <w:rFonts w:hint="eastAsia"/>
                          <w:sz w:val="15"/>
                          <w:szCs w:val="15"/>
                        </w:rPr>
                        <w:t>免责声明：</w:t>
                      </w:r>
                    </w:p>
                    <w:p w:rsidR="000B33C0" w:rsidRDefault="000B33C0" w:rsidP="000B33C0">
                      <w:pPr>
                        <w:rPr>
                          <w:sz w:val="15"/>
                          <w:szCs w:val="15"/>
                        </w:rPr>
                      </w:pPr>
                      <w:r>
                        <w:rPr>
                          <w:rFonts w:hint="eastAsia"/>
                          <w:sz w:val="15"/>
                          <w:szCs w:val="15"/>
                        </w:rPr>
                        <w:t xml:space="preserve">本报告是基于上海联合矿权交易所认为可靠的已公开信息编制，但上海联合矿权交易所不保证所载信息的准确性和完整性。本报告所载的意见、评估及预测仅为本报告最初出具日的观点和判断，在任何情况下，本报告中的信息或所表述的意见并不构成对任何人的投资建议。本报告所载的资料、工具、意见及推测仅供参考，并非作为或被视为出售或购买证券或其他投资标的的邀请或向人做出邀请。 </w:t>
                      </w:r>
                    </w:p>
                    <w:p w:rsidR="000B33C0" w:rsidRDefault="000B33C0" w:rsidP="000B33C0">
                      <w:pPr>
                        <w:rPr>
                          <w:sz w:val="15"/>
                          <w:szCs w:val="15"/>
                        </w:rPr>
                      </w:pPr>
                      <w:r>
                        <w:rPr>
                          <w:rFonts w:hint="eastAsia"/>
                          <w:sz w:val="15"/>
                          <w:szCs w:val="15"/>
                        </w:rPr>
                        <w:t>本报告版权仅为上海联合矿权交易所所有。未经上海联合矿权交易所书面同意，任何机构和个人不得以任何形式翻版、复制、发布、转发或引用本报告的任何部分。若上海联合矿权交易所以外的机构向其客户发放本报告，则由该机构独自为此发送行为负责，上海联合矿权交易所对此等行为不承担任何责任。</w:t>
                      </w:r>
                    </w:p>
                    <w:p w:rsidR="000B33C0" w:rsidRDefault="000B33C0" w:rsidP="000B33C0">
                      <w:pPr>
                        <w:rPr>
                          <w:sz w:val="15"/>
                          <w:szCs w:val="15"/>
                        </w:rPr>
                      </w:pPr>
                      <w:r>
                        <w:rPr>
                          <w:rFonts w:hint="eastAsia"/>
                          <w:sz w:val="15"/>
                          <w:szCs w:val="15"/>
                        </w:rPr>
                        <w:t>如未经上海联合矿权交易所授权，私自转载或者转发本报告，所引起的一切后果及法律责任由私自转载或转发者承担。上海联合矿权交易所将保留随时追究其法律责任的权利。</w:t>
                      </w:r>
                    </w:p>
                    <w:p w:rsidR="000B33C0" w:rsidRDefault="000B33C0" w:rsidP="000B33C0">
                      <w:pPr>
                        <w:rPr>
                          <w:sz w:val="15"/>
                          <w:szCs w:val="15"/>
                        </w:rPr>
                      </w:pPr>
                    </w:p>
                  </w:txbxContent>
                </v:textbox>
              </v:rect>
            </w:pict>
          </mc:Fallback>
        </mc:AlternateContent>
      </w:r>
    </w:p>
    <w:p w:rsidR="00FA2890" w:rsidRPr="00FE651F" w:rsidRDefault="00FA2890" w:rsidP="00FE651F">
      <w:pPr>
        <w:spacing w:line="360" w:lineRule="auto"/>
        <w:rPr>
          <w:b/>
        </w:rPr>
      </w:pPr>
    </w:p>
    <w:sectPr w:rsidR="00FA2890" w:rsidRPr="00FE651F" w:rsidSect="00292980">
      <w:type w:val="continuous"/>
      <w:pgSz w:w="11906" w:h="16838"/>
      <w:pgMar w:top="2835"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508D" w:rsidRDefault="0030508D" w:rsidP="000B33C0">
      <w:r>
        <w:separator/>
      </w:r>
    </w:p>
  </w:endnote>
  <w:endnote w:type="continuationSeparator" w:id="0">
    <w:p w:rsidR="0030508D" w:rsidRDefault="0030508D" w:rsidP="000B33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mp;quo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12727830"/>
    </w:sdtPr>
    <w:sdtEndPr/>
    <w:sdtContent>
      <w:p w:rsidR="000B33C0" w:rsidRDefault="000B33C0">
        <w:pPr>
          <w:pStyle w:val="a5"/>
          <w:jc w:val="center"/>
        </w:pPr>
        <w:r>
          <w:fldChar w:fldCharType="begin"/>
        </w:r>
        <w:r>
          <w:instrText xml:space="preserve"> PAGE   \* MERGEFORMAT </w:instrText>
        </w:r>
        <w:r>
          <w:fldChar w:fldCharType="separate"/>
        </w:r>
        <w:r w:rsidR="002508E9" w:rsidRPr="002508E9">
          <w:rPr>
            <w:noProof/>
            <w:lang w:val="zh-CN"/>
          </w:rPr>
          <w:t>11</w:t>
        </w:r>
        <w:r>
          <w:rPr>
            <w:lang w:val="zh-CN"/>
          </w:rPr>
          <w:fldChar w:fldCharType="end"/>
        </w:r>
      </w:p>
    </w:sdtContent>
  </w:sdt>
  <w:p w:rsidR="000B33C0" w:rsidRDefault="000B33C0">
    <w:pPr>
      <w:pStyle w:val="a5"/>
      <w:jc w:val="right"/>
      <w:rPr>
        <w:sz w:val="11"/>
        <w:szCs w:val="11"/>
      </w:rPr>
    </w:pPr>
    <w:r>
      <w:rPr>
        <w:rFonts w:hint="eastAsia"/>
        <w:sz w:val="11"/>
        <w:szCs w:val="11"/>
      </w:rPr>
      <w:t xml:space="preserve">                                                                                             编辑：上海联合矿权交易所</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508D" w:rsidRDefault="0030508D" w:rsidP="000B33C0">
      <w:r>
        <w:separator/>
      </w:r>
    </w:p>
  </w:footnote>
  <w:footnote w:type="continuationSeparator" w:id="0">
    <w:p w:rsidR="0030508D" w:rsidRDefault="0030508D" w:rsidP="000B33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33C0" w:rsidRDefault="000B33C0">
    <w:r>
      <w:rPr>
        <w:noProof/>
      </w:rPr>
      <mc:AlternateContent>
        <mc:Choice Requires="wps">
          <w:drawing>
            <wp:anchor distT="0" distB="0" distL="114300" distR="114300" simplePos="0" relativeHeight="251657216" behindDoc="0" locked="0" layoutInCell="1" allowOverlap="1" wp14:anchorId="3BA98B30" wp14:editId="724D92AA">
              <wp:simplePos x="0" y="0"/>
              <wp:positionH relativeFrom="column">
                <wp:posOffset>-1207770</wp:posOffset>
              </wp:positionH>
              <wp:positionV relativeFrom="paragraph">
                <wp:posOffset>469265</wp:posOffset>
              </wp:positionV>
              <wp:extent cx="7734300" cy="424815"/>
              <wp:effectExtent l="19050" t="19050" r="38100" b="51435"/>
              <wp:wrapNone/>
              <wp:docPr id="17" name="矩形 1"/>
              <wp:cNvGraphicFramePr/>
              <a:graphic xmlns:a="http://schemas.openxmlformats.org/drawingml/2006/main">
                <a:graphicData uri="http://schemas.microsoft.com/office/word/2010/wordprocessingShape">
                  <wps:wsp>
                    <wps:cNvSpPr/>
                    <wps:spPr>
                      <a:xfrm>
                        <a:off x="0" y="0"/>
                        <a:ext cx="7734300" cy="424815"/>
                      </a:xfrm>
                      <a:prstGeom prst="rect">
                        <a:avLst/>
                      </a:prstGeom>
                      <a:solidFill>
                        <a:srgbClr val="0070C0"/>
                      </a:solidFill>
                      <a:ln w="38100" cap="flat" cmpd="sng">
                        <a:solidFill>
                          <a:srgbClr val="F2F2F2">
                            <a:lumMod val="95000"/>
                          </a:srgbClr>
                        </a:solidFill>
                        <a:prstDash val="solid"/>
                        <a:miter/>
                        <a:headEnd type="none" w="med" len="med"/>
                        <a:tailEnd type="none" w="med" len="med"/>
                      </a:ln>
                      <a:effectLst>
                        <a:outerShdw dist="28398" dir="3806096" algn="ctr" rotWithShape="0">
                          <a:srgbClr val="003860">
                            <a:lumMod val="50000"/>
                            <a:alpha val="50000"/>
                          </a:srgbClr>
                        </a:outerShdw>
                      </a:effectLst>
                    </wps:spPr>
                    <wps:txbx>
                      <w:txbxContent>
                        <w:p w:rsidR="000B33C0" w:rsidRDefault="000B33C0">
                          <w:pPr>
                            <w:ind w:firstLineChars="100" w:firstLine="181"/>
                            <w:rPr>
                              <w:rFonts w:ascii="微软雅黑" w:hAnsi="微软雅黑"/>
                              <w:b/>
                              <w:color w:val="FFFFFF" w:themeColor="background1"/>
                              <w:sz w:val="18"/>
                              <w:szCs w:val="18"/>
                            </w:rPr>
                          </w:pPr>
                          <w:r>
                            <w:rPr>
                              <w:rFonts w:ascii="微软雅黑" w:hAnsi="微软雅黑" w:hint="eastAsia"/>
                              <w:b/>
                              <w:color w:val="FFFFFF" w:themeColor="background1"/>
                              <w:sz w:val="18"/>
                              <w:szCs w:val="18"/>
                            </w:rPr>
                            <w:t>上海联合矿权交易所</w:t>
                          </w:r>
                          <w:r>
                            <w:rPr>
                              <w:rFonts w:ascii="微软雅黑" w:hAnsi="微软雅黑" w:hint="eastAsia"/>
                              <w:b/>
                              <w:color w:val="FFFFFF" w:themeColor="background1"/>
                              <w:sz w:val="18"/>
                              <w:szCs w:val="18"/>
                            </w:rPr>
                            <w:t xml:space="preserve">                                  </w:t>
                          </w:r>
                          <w:r>
                            <w:rPr>
                              <w:rFonts w:ascii="微软雅黑" w:hAnsi="微软雅黑" w:hint="eastAsia"/>
                              <w:b/>
                              <w:color w:val="FFFFFF" w:themeColor="background1"/>
                              <w:sz w:val="18"/>
                              <w:szCs w:val="18"/>
                            </w:rPr>
                            <w:t>新能源锂行业周报</w:t>
                          </w:r>
                          <w:r>
                            <w:rPr>
                              <w:rFonts w:ascii="微软雅黑" w:hAnsi="微软雅黑" w:hint="eastAsia"/>
                              <w:b/>
                              <w:color w:val="FFFFFF" w:themeColor="background1"/>
                              <w:sz w:val="18"/>
                              <w:szCs w:val="18"/>
                            </w:rPr>
                            <w:t>(18</w:t>
                          </w:r>
                          <w:r w:rsidR="00A2717D">
                            <w:rPr>
                              <w:rFonts w:ascii="微软雅黑" w:hAnsi="微软雅黑"/>
                              <w:b/>
                              <w:color w:val="FFFFFF" w:themeColor="background1"/>
                              <w:sz w:val="18"/>
                              <w:szCs w:val="18"/>
                            </w:rPr>
                            <w:t>1217</w:t>
                          </w:r>
                          <w:r>
                            <w:rPr>
                              <w:rFonts w:ascii="微软雅黑" w:hAnsi="微软雅黑" w:hint="eastAsia"/>
                              <w:b/>
                              <w:color w:val="FFFFFF" w:themeColor="background1"/>
                              <w:sz w:val="18"/>
                              <w:szCs w:val="18"/>
                            </w:rPr>
                            <w:t>期</w:t>
                          </w:r>
                          <w:r>
                            <w:rPr>
                              <w:rFonts w:ascii="微软雅黑" w:hAnsi="微软雅黑" w:hint="eastAsia"/>
                              <w:b/>
                              <w:color w:val="FFFFFF" w:themeColor="background1"/>
                              <w:sz w:val="18"/>
                              <w:szCs w:val="18"/>
                            </w:rPr>
                            <w:t>)                             2018</w:t>
                          </w:r>
                          <w:r>
                            <w:rPr>
                              <w:rFonts w:ascii="微软雅黑" w:hAnsi="微软雅黑" w:hint="eastAsia"/>
                              <w:b/>
                              <w:color w:val="FFFFFF" w:themeColor="background1"/>
                              <w:sz w:val="18"/>
                              <w:szCs w:val="18"/>
                            </w:rPr>
                            <w:t>年</w:t>
                          </w:r>
                          <w:r w:rsidR="00A2717D">
                            <w:rPr>
                              <w:rFonts w:ascii="微软雅黑" w:hAnsi="微软雅黑"/>
                              <w:b/>
                              <w:color w:val="FFFFFF" w:themeColor="background1"/>
                              <w:sz w:val="18"/>
                              <w:szCs w:val="18"/>
                            </w:rPr>
                            <w:t>12</w:t>
                          </w:r>
                          <w:r>
                            <w:rPr>
                              <w:rFonts w:ascii="微软雅黑" w:hAnsi="微软雅黑" w:hint="eastAsia"/>
                              <w:b/>
                              <w:color w:val="FFFFFF" w:themeColor="background1"/>
                              <w:sz w:val="18"/>
                              <w:szCs w:val="18"/>
                            </w:rPr>
                            <w:t>月</w:t>
                          </w:r>
                          <w:r w:rsidR="00A2717D">
                            <w:rPr>
                              <w:rFonts w:ascii="微软雅黑" w:hAnsi="微软雅黑"/>
                              <w:b/>
                              <w:color w:val="FFFFFF" w:themeColor="background1"/>
                              <w:sz w:val="18"/>
                              <w:szCs w:val="18"/>
                            </w:rPr>
                            <w:t>17</w:t>
                          </w:r>
                          <w:r>
                            <w:rPr>
                              <w:rFonts w:ascii="微软雅黑" w:hAnsi="微软雅黑" w:hint="eastAsia"/>
                              <w:b/>
                              <w:color w:val="FFFFFF" w:themeColor="background1"/>
                              <w:sz w:val="18"/>
                              <w:szCs w:val="18"/>
                            </w:rPr>
                            <w:t>日</w:t>
                          </w:r>
                        </w:p>
                        <w:p w:rsidR="000B33C0" w:rsidRPr="00083959" w:rsidRDefault="000B33C0">
                          <w:pPr>
                            <w:rPr>
                              <w:i/>
                              <w:color w:val="FFFFFF" w:themeColor="background1"/>
                            </w:rPr>
                          </w:pPr>
                        </w:p>
                      </w:txbxContent>
                    </wps:txbx>
                    <wps:bodyPr upright="1"/>
                  </wps:wsp>
                </a:graphicData>
              </a:graphic>
            </wp:anchor>
          </w:drawing>
        </mc:Choice>
        <mc:Fallback>
          <w:pict>
            <v:rect w14:anchorId="3BA98B30" id="矩形 1" o:spid="_x0000_s1031" style="position:absolute;left:0;text-align:left;margin-left:-95.1pt;margin-top:36.95pt;width:609pt;height:33.4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" fillcolor="#0070c0" strokecolor="#e6e6e6" strokeweight="3pt">
              <v:shadow on="t" color="#001c30" opacity=".5" offset="1pt"/>
              <v:textbox>
                <w:txbxContent>
                  <w:p w:rsidR="000B33C0" w:rsidRDefault="000B33C0">
                    <w:pPr>
                      <w:ind w:firstLineChars="100" w:firstLine="181"/>
                      <w:rPr>
                        <w:rFonts w:ascii="微软雅黑" w:hAnsi="微软雅黑"/>
                        <w:b/>
                        <w:color w:val="FFFFFF" w:themeColor="background1"/>
                        <w:sz w:val="18"/>
                        <w:szCs w:val="18"/>
                      </w:rPr>
                    </w:pPr>
                    <w:r>
                      <w:rPr>
                        <w:rFonts w:ascii="微软雅黑" w:hAnsi="微软雅黑" w:hint="eastAsia"/>
                        <w:b/>
                        <w:color w:val="FFFFFF" w:themeColor="background1"/>
                        <w:sz w:val="18"/>
                        <w:szCs w:val="18"/>
                      </w:rPr>
                      <w:t>上海联合矿权交易所</w:t>
                    </w:r>
                    <w:r>
                      <w:rPr>
                        <w:rFonts w:ascii="微软雅黑" w:hAnsi="微软雅黑" w:hint="eastAsia"/>
                        <w:b/>
                        <w:color w:val="FFFFFF" w:themeColor="background1"/>
                        <w:sz w:val="18"/>
                        <w:szCs w:val="18"/>
                      </w:rPr>
                      <w:t xml:space="preserve">                                  </w:t>
                    </w:r>
                    <w:r>
                      <w:rPr>
                        <w:rFonts w:ascii="微软雅黑" w:hAnsi="微软雅黑" w:hint="eastAsia"/>
                        <w:b/>
                        <w:color w:val="FFFFFF" w:themeColor="background1"/>
                        <w:sz w:val="18"/>
                        <w:szCs w:val="18"/>
                      </w:rPr>
                      <w:t>新能源锂行业周报</w:t>
                    </w:r>
                    <w:r>
                      <w:rPr>
                        <w:rFonts w:ascii="微软雅黑" w:hAnsi="微软雅黑" w:hint="eastAsia"/>
                        <w:b/>
                        <w:color w:val="FFFFFF" w:themeColor="background1"/>
                        <w:sz w:val="18"/>
                        <w:szCs w:val="18"/>
                      </w:rPr>
                      <w:t>(18</w:t>
                    </w:r>
                    <w:r w:rsidR="00A2717D">
                      <w:rPr>
                        <w:rFonts w:ascii="微软雅黑" w:hAnsi="微软雅黑"/>
                        <w:b/>
                        <w:color w:val="FFFFFF" w:themeColor="background1"/>
                        <w:sz w:val="18"/>
                        <w:szCs w:val="18"/>
                      </w:rPr>
                      <w:t>1217</w:t>
                    </w:r>
                    <w:r>
                      <w:rPr>
                        <w:rFonts w:ascii="微软雅黑" w:hAnsi="微软雅黑" w:hint="eastAsia"/>
                        <w:b/>
                        <w:color w:val="FFFFFF" w:themeColor="background1"/>
                        <w:sz w:val="18"/>
                        <w:szCs w:val="18"/>
                      </w:rPr>
                      <w:t>期</w:t>
                    </w:r>
                    <w:r>
                      <w:rPr>
                        <w:rFonts w:ascii="微软雅黑" w:hAnsi="微软雅黑" w:hint="eastAsia"/>
                        <w:b/>
                        <w:color w:val="FFFFFF" w:themeColor="background1"/>
                        <w:sz w:val="18"/>
                        <w:szCs w:val="18"/>
                      </w:rPr>
                      <w:t>)                             2018</w:t>
                    </w:r>
                    <w:r>
                      <w:rPr>
                        <w:rFonts w:ascii="微软雅黑" w:hAnsi="微软雅黑" w:hint="eastAsia"/>
                        <w:b/>
                        <w:color w:val="FFFFFF" w:themeColor="background1"/>
                        <w:sz w:val="18"/>
                        <w:szCs w:val="18"/>
                      </w:rPr>
                      <w:t>年</w:t>
                    </w:r>
                    <w:r w:rsidR="00A2717D">
                      <w:rPr>
                        <w:rFonts w:ascii="微软雅黑" w:hAnsi="微软雅黑"/>
                        <w:b/>
                        <w:color w:val="FFFFFF" w:themeColor="background1"/>
                        <w:sz w:val="18"/>
                        <w:szCs w:val="18"/>
                      </w:rPr>
                      <w:t>12</w:t>
                    </w:r>
                    <w:r>
                      <w:rPr>
                        <w:rFonts w:ascii="微软雅黑" w:hAnsi="微软雅黑" w:hint="eastAsia"/>
                        <w:b/>
                        <w:color w:val="FFFFFF" w:themeColor="background1"/>
                        <w:sz w:val="18"/>
                        <w:szCs w:val="18"/>
                      </w:rPr>
                      <w:t>月</w:t>
                    </w:r>
                    <w:r w:rsidR="00A2717D">
                      <w:rPr>
                        <w:rFonts w:ascii="微软雅黑" w:hAnsi="微软雅黑"/>
                        <w:b/>
                        <w:color w:val="FFFFFF" w:themeColor="background1"/>
                        <w:sz w:val="18"/>
                        <w:szCs w:val="18"/>
                      </w:rPr>
                      <w:t>17</w:t>
                    </w:r>
                    <w:r>
                      <w:rPr>
                        <w:rFonts w:ascii="微软雅黑" w:hAnsi="微软雅黑" w:hint="eastAsia"/>
                        <w:b/>
                        <w:color w:val="FFFFFF" w:themeColor="background1"/>
                        <w:sz w:val="18"/>
                        <w:szCs w:val="18"/>
                      </w:rPr>
                      <w:t>日</w:t>
                    </w:r>
                  </w:p>
                  <w:p w:rsidR="000B33C0" w:rsidRPr="00083959" w:rsidRDefault="000B33C0">
                    <w:pPr>
                      <w:rPr>
                        <w:i/>
                        <w:color w:val="FFFFFF" w:themeColor="background1"/>
                      </w:rPr>
                    </w:pPr>
                  </w:p>
                </w:txbxContent>
              </v:textbox>
            </v:rect>
          </w:pict>
        </mc:Fallback>
      </mc:AlternateContent>
    </w:r>
    <w:r>
      <w:rPr>
        <w:noProof/>
      </w:rPr>
      <w:drawing>
        <wp:anchor distT="0" distB="0" distL="114300" distR="114300" simplePos="0" relativeHeight="251659264" behindDoc="0" locked="0" layoutInCell="1" allowOverlap="1" wp14:anchorId="250088FB" wp14:editId="2093DD60">
          <wp:simplePos x="0" y="0"/>
          <wp:positionH relativeFrom="column">
            <wp:posOffset>2240280</wp:posOffset>
          </wp:positionH>
          <wp:positionV relativeFrom="paragraph">
            <wp:posOffset>-368935</wp:posOffset>
          </wp:positionV>
          <wp:extent cx="628650" cy="628650"/>
          <wp:effectExtent l="19050" t="0" r="0" b="0"/>
          <wp:wrapNone/>
          <wp:docPr id="40" name="图片 1" descr="kjs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kjs_logo.jpg"/>
                  <pic:cNvPicPr>
                    <a:picLocks noChangeAspect="1"/>
                  </pic:cNvPicPr>
                </pic:nvPicPr>
                <pic:blipFill>
                  <a:blip r:embed="rId1"/>
                  <a:stretch>
                    <a:fillRect/>
                  </a:stretch>
                </pic:blipFill>
                <pic:spPr>
                  <a:xfrm>
                    <a:off x="0" y="0"/>
                    <a:ext cx="628650" cy="62865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C838998"/>
    <w:multiLevelType w:val="singleLevel"/>
    <w:tmpl w:val="BC838998"/>
    <w:lvl w:ilvl="0">
      <w:start w:val="1"/>
      <w:numFmt w:val="bullet"/>
      <w:lvlText w:val=""/>
      <w:lvlJc w:val="left"/>
      <w:pPr>
        <w:ind w:left="420" w:hanging="420"/>
      </w:pPr>
      <w:rPr>
        <w:rFonts w:ascii="Wingdings" w:hAnsi="Wingdings" w:hint="default"/>
      </w:rPr>
    </w:lvl>
  </w:abstractNum>
  <w:abstractNum w:abstractNumId="1" w15:restartNumberingAfterBreak="0">
    <w:nsid w:val="4EFF4B23"/>
    <w:multiLevelType w:val="multilevel"/>
    <w:tmpl w:val="4EFF4B23"/>
    <w:lvl w:ilvl="0">
      <w:start w:val="1"/>
      <w:numFmt w:val="decimal"/>
      <w:lvlText w:val="%1、"/>
      <w:lvlJc w:val="left"/>
      <w:pPr>
        <w:ind w:left="668" w:hanging="720"/>
      </w:pPr>
      <w:rPr>
        <w:rFonts w:hint="default"/>
        <w:sz w:val="28"/>
      </w:rPr>
    </w:lvl>
    <w:lvl w:ilvl="1">
      <w:start w:val="1"/>
      <w:numFmt w:val="lowerLetter"/>
      <w:lvlText w:val="%2)"/>
      <w:lvlJc w:val="left"/>
      <w:pPr>
        <w:ind w:left="788" w:hanging="420"/>
      </w:pPr>
    </w:lvl>
    <w:lvl w:ilvl="2">
      <w:start w:val="1"/>
      <w:numFmt w:val="lowerRoman"/>
      <w:lvlText w:val="%3."/>
      <w:lvlJc w:val="right"/>
      <w:pPr>
        <w:ind w:left="1208" w:hanging="420"/>
      </w:pPr>
    </w:lvl>
    <w:lvl w:ilvl="3">
      <w:start w:val="1"/>
      <w:numFmt w:val="decimal"/>
      <w:lvlText w:val="%4."/>
      <w:lvlJc w:val="left"/>
      <w:pPr>
        <w:ind w:left="1628" w:hanging="420"/>
      </w:pPr>
    </w:lvl>
    <w:lvl w:ilvl="4">
      <w:start w:val="1"/>
      <w:numFmt w:val="lowerLetter"/>
      <w:lvlText w:val="%5)"/>
      <w:lvlJc w:val="left"/>
      <w:pPr>
        <w:ind w:left="2048" w:hanging="420"/>
      </w:pPr>
    </w:lvl>
    <w:lvl w:ilvl="5">
      <w:start w:val="1"/>
      <w:numFmt w:val="lowerRoman"/>
      <w:lvlText w:val="%6."/>
      <w:lvlJc w:val="right"/>
      <w:pPr>
        <w:ind w:left="2468" w:hanging="420"/>
      </w:pPr>
    </w:lvl>
    <w:lvl w:ilvl="6">
      <w:start w:val="1"/>
      <w:numFmt w:val="decimal"/>
      <w:lvlText w:val="%7."/>
      <w:lvlJc w:val="left"/>
      <w:pPr>
        <w:ind w:left="2888" w:hanging="420"/>
      </w:pPr>
    </w:lvl>
    <w:lvl w:ilvl="7">
      <w:start w:val="1"/>
      <w:numFmt w:val="lowerLetter"/>
      <w:lvlText w:val="%8)"/>
      <w:lvlJc w:val="left"/>
      <w:pPr>
        <w:ind w:left="3308" w:hanging="420"/>
      </w:pPr>
    </w:lvl>
    <w:lvl w:ilvl="8">
      <w:start w:val="1"/>
      <w:numFmt w:val="lowerRoman"/>
      <w:lvlText w:val="%9."/>
      <w:lvlJc w:val="right"/>
      <w:pPr>
        <w:ind w:left="3728"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309BA"/>
    <w:rsid w:val="00006130"/>
    <w:rsid w:val="00014926"/>
    <w:rsid w:val="000165EE"/>
    <w:rsid w:val="00020F6A"/>
    <w:rsid w:val="0005589E"/>
    <w:rsid w:val="00064DE0"/>
    <w:rsid w:val="00071B2F"/>
    <w:rsid w:val="00083959"/>
    <w:rsid w:val="000901B7"/>
    <w:rsid w:val="000A0AC5"/>
    <w:rsid w:val="000B33C0"/>
    <w:rsid w:val="000D6012"/>
    <w:rsid w:val="000E444C"/>
    <w:rsid w:val="000F74B2"/>
    <w:rsid w:val="0012424C"/>
    <w:rsid w:val="00170704"/>
    <w:rsid w:val="001A5D5A"/>
    <w:rsid w:val="001C17E3"/>
    <w:rsid w:val="001C678D"/>
    <w:rsid w:val="001F3B45"/>
    <w:rsid w:val="00236873"/>
    <w:rsid w:val="0024615C"/>
    <w:rsid w:val="002508E9"/>
    <w:rsid w:val="00252A3C"/>
    <w:rsid w:val="002664F0"/>
    <w:rsid w:val="00285FF6"/>
    <w:rsid w:val="002A702E"/>
    <w:rsid w:val="002F4A62"/>
    <w:rsid w:val="0030508D"/>
    <w:rsid w:val="003625F5"/>
    <w:rsid w:val="00377456"/>
    <w:rsid w:val="00390F94"/>
    <w:rsid w:val="003D23EC"/>
    <w:rsid w:val="003F664D"/>
    <w:rsid w:val="004051C7"/>
    <w:rsid w:val="0041364D"/>
    <w:rsid w:val="00420CC3"/>
    <w:rsid w:val="00422E62"/>
    <w:rsid w:val="004247CF"/>
    <w:rsid w:val="00453656"/>
    <w:rsid w:val="00464628"/>
    <w:rsid w:val="00471877"/>
    <w:rsid w:val="004A1958"/>
    <w:rsid w:val="004C09CC"/>
    <w:rsid w:val="004D4099"/>
    <w:rsid w:val="00516A1A"/>
    <w:rsid w:val="00527CD9"/>
    <w:rsid w:val="00577076"/>
    <w:rsid w:val="005F5FEA"/>
    <w:rsid w:val="00625890"/>
    <w:rsid w:val="006310B4"/>
    <w:rsid w:val="00672C4E"/>
    <w:rsid w:val="006E04D5"/>
    <w:rsid w:val="006E15E5"/>
    <w:rsid w:val="00700471"/>
    <w:rsid w:val="00714B47"/>
    <w:rsid w:val="007309BA"/>
    <w:rsid w:val="007446E9"/>
    <w:rsid w:val="00787B37"/>
    <w:rsid w:val="007A2EAC"/>
    <w:rsid w:val="007C3BE2"/>
    <w:rsid w:val="007C5223"/>
    <w:rsid w:val="007D2EEF"/>
    <w:rsid w:val="008208AB"/>
    <w:rsid w:val="008254CB"/>
    <w:rsid w:val="00844C09"/>
    <w:rsid w:val="00845201"/>
    <w:rsid w:val="008669E6"/>
    <w:rsid w:val="0087772E"/>
    <w:rsid w:val="00896280"/>
    <w:rsid w:val="008B7ADC"/>
    <w:rsid w:val="008C3E3F"/>
    <w:rsid w:val="008F1DA8"/>
    <w:rsid w:val="008F2E96"/>
    <w:rsid w:val="008F48D3"/>
    <w:rsid w:val="00901157"/>
    <w:rsid w:val="0093277F"/>
    <w:rsid w:val="0094222C"/>
    <w:rsid w:val="009555FB"/>
    <w:rsid w:val="009766C9"/>
    <w:rsid w:val="009942AF"/>
    <w:rsid w:val="009A070C"/>
    <w:rsid w:val="009B3628"/>
    <w:rsid w:val="009D03F0"/>
    <w:rsid w:val="009D4AC3"/>
    <w:rsid w:val="009D613B"/>
    <w:rsid w:val="009F0EB1"/>
    <w:rsid w:val="009F1A1A"/>
    <w:rsid w:val="009F23CE"/>
    <w:rsid w:val="009F3B72"/>
    <w:rsid w:val="009F4E64"/>
    <w:rsid w:val="009F5AB8"/>
    <w:rsid w:val="00A2717D"/>
    <w:rsid w:val="00A42601"/>
    <w:rsid w:val="00A43BEC"/>
    <w:rsid w:val="00A9329A"/>
    <w:rsid w:val="00B53075"/>
    <w:rsid w:val="00B71695"/>
    <w:rsid w:val="00B85AC4"/>
    <w:rsid w:val="00B90DA3"/>
    <w:rsid w:val="00BF231B"/>
    <w:rsid w:val="00C0400B"/>
    <w:rsid w:val="00C17371"/>
    <w:rsid w:val="00C435E1"/>
    <w:rsid w:val="00C43D7C"/>
    <w:rsid w:val="00C56DD1"/>
    <w:rsid w:val="00C61315"/>
    <w:rsid w:val="00C81F9D"/>
    <w:rsid w:val="00CB55D5"/>
    <w:rsid w:val="00CB5BEC"/>
    <w:rsid w:val="00CC7A7A"/>
    <w:rsid w:val="00CD6DDC"/>
    <w:rsid w:val="00CD7FE8"/>
    <w:rsid w:val="00CE6B05"/>
    <w:rsid w:val="00D108D3"/>
    <w:rsid w:val="00DA097E"/>
    <w:rsid w:val="00E149DF"/>
    <w:rsid w:val="00E224F1"/>
    <w:rsid w:val="00E401EE"/>
    <w:rsid w:val="00E46014"/>
    <w:rsid w:val="00E8343C"/>
    <w:rsid w:val="00EC6312"/>
    <w:rsid w:val="00ED7F1B"/>
    <w:rsid w:val="00EF0A82"/>
    <w:rsid w:val="00EF7A8B"/>
    <w:rsid w:val="00F47B13"/>
    <w:rsid w:val="00F52B96"/>
    <w:rsid w:val="00F729CE"/>
    <w:rsid w:val="00F81D6F"/>
    <w:rsid w:val="00FA2890"/>
    <w:rsid w:val="00FB2F44"/>
    <w:rsid w:val="00FC6568"/>
    <w:rsid w:val="00FD3BD9"/>
    <w:rsid w:val="00FE45F7"/>
    <w:rsid w:val="00FE65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2AFB38"/>
  <w15:docId w15:val="{265EC004-0F10-48C3-A668-9D681265E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B33C0"/>
    <w:pPr>
      <w:widowControl w:val="0"/>
      <w:jc w:val="both"/>
    </w:pPr>
    <w:rPr>
      <w:rFonts w:ascii="宋体" w:eastAsia="宋体" w:hAnsi="宋体"/>
      <w:sz w:val="24"/>
    </w:rPr>
  </w:style>
  <w:style w:type="paragraph" w:styleId="1">
    <w:name w:val="heading 1"/>
    <w:basedOn w:val="a"/>
    <w:next w:val="a"/>
    <w:link w:val="10"/>
    <w:uiPriority w:val="9"/>
    <w:qFormat/>
    <w:rsid w:val="000B33C0"/>
    <w:pPr>
      <w:widowControl/>
      <w:spacing w:before="100" w:beforeAutospacing="1" w:after="100" w:afterAutospacing="1"/>
      <w:jc w:val="left"/>
      <w:outlineLvl w:val="0"/>
    </w:pPr>
    <w:rPr>
      <w:rFonts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B33C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B33C0"/>
    <w:rPr>
      <w:rFonts w:ascii="微软雅黑" w:eastAsia="微软雅黑" w:hAnsi="微软雅黑" w:cs="微软雅黑"/>
      <w:sz w:val="18"/>
      <w:szCs w:val="18"/>
    </w:rPr>
  </w:style>
  <w:style w:type="paragraph" w:styleId="a5">
    <w:name w:val="footer"/>
    <w:basedOn w:val="a"/>
    <w:link w:val="a6"/>
    <w:uiPriority w:val="99"/>
    <w:unhideWhenUsed/>
    <w:qFormat/>
    <w:rsid w:val="000B33C0"/>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0B33C0"/>
    <w:rPr>
      <w:rFonts w:ascii="微软雅黑" w:eastAsia="微软雅黑" w:hAnsi="微软雅黑" w:cs="微软雅黑"/>
      <w:sz w:val="18"/>
      <w:szCs w:val="18"/>
    </w:rPr>
  </w:style>
  <w:style w:type="character" w:customStyle="1" w:styleId="10">
    <w:name w:val="标题 1 字符"/>
    <w:basedOn w:val="a0"/>
    <w:link w:val="1"/>
    <w:uiPriority w:val="9"/>
    <w:qFormat/>
    <w:rsid w:val="000B33C0"/>
    <w:rPr>
      <w:rFonts w:ascii="宋体" w:eastAsia="宋体" w:hAnsi="宋体" w:cs="宋体"/>
      <w:b/>
      <w:bCs/>
      <w:kern w:val="36"/>
      <w:sz w:val="48"/>
      <w:szCs w:val="48"/>
    </w:rPr>
  </w:style>
  <w:style w:type="character" w:styleId="a7">
    <w:name w:val="Hyperlink"/>
    <w:basedOn w:val="a0"/>
    <w:uiPriority w:val="99"/>
    <w:unhideWhenUsed/>
    <w:qFormat/>
    <w:rsid w:val="000B33C0"/>
    <w:rPr>
      <w:color w:val="0000FF" w:themeColor="hyperlink"/>
      <w:u w:val="single"/>
    </w:rPr>
  </w:style>
  <w:style w:type="table" w:styleId="-3">
    <w:name w:val="Light Grid Accent 3"/>
    <w:basedOn w:val="a1"/>
    <w:uiPriority w:val="62"/>
    <w:rsid w:val="000B33C0"/>
    <w:rPr>
      <w:rFonts w:ascii="Times New Roman" w:eastAsia="宋体" w:hAnsi="Times New Roman" w:cs="Times New Roman"/>
      <w:kern w:val="0"/>
      <w:sz w:val="20"/>
      <w:szCs w:val="20"/>
    </w:rPr>
    <w:tblPr>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tcPr>
    </w:tblStylePr>
  </w:style>
  <w:style w:type="paragraph" w:styleId="a8">
    <w:name w:val="List Paragraph"/>
    <w:basedOn w:val="a"/>
    <w:uiPriority w:val="99"/>
    <w:unhideWhenUsed/>
    <w:qFormat/>
    <w:rsid w:val="000B33C0"/>
    <w:pPr>
      <w:ind w:firstLineChars="200" w:firstLine="420"/>
    </w:pPr>
  </w:style>
  <w:style w:type="paragraph" w:styleId="a9">
    <w:name w:val="Balloon Text"/>
    <w:basedOn w:val="a"/>
    <w:link w:val="aa"/>
    <w:uiPriority w:val="99"/>
    <w:semiHidden/>
    <w:unhideWhenUsed/>
    <w:rsid w:val="000B33C0"/>
    <w:rPr>
      <w:sz w:val="18"/>
      <w:szCs w:val="18"/>
    </w:rPr>
  </w:style>
  <w:style w:type="character" w:customStyle="1" w:styleId="aa">
    <w:name w:val="批注框文本 字符"/>
    <w:basedOn w:val="a0"/>
    <w:link w:val="a9"/>
    <w:uiPriority w:val="99"/>
    <w:semiHidden/>
    <w:rsid w:val="000B33C0"/>
    <w:rPr>
      <w:rFonts w:ascii="宋体" w:eastAsia="宋体" w:hAnsi="宋体"/>
      <w:sz w:val="18"/>
      <w:szCs w:val="18"/>
    </w:rPr>
  </w:style>
  <w:style w:type="table" w:styleId="ab">
    <w:name w:val="Table Grid"/>
    <w:basedOn w:val="a1"/>
    <w:uiPriority w:val="59"/>
    <w:rsid w:val="001A5D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caption"/>
    <w:basedOn w:val="a"/>
    <w:next w:val="a"/>
    <w:uiPriority w:val="35"/>
    <w:unhideWhenUsed/>
    <w:qFormat/>
    <w:rsid w:val="00B71695"/>
    <w:rPr>
      <w:rFonts w:asciiTheme="majorHAnsi" w:eastAsia="黑体" w:hAnsiTheme="majorHAnsi" w:cstheme="majorBidi"/>
      <w:sz w:val="20"/>
      <w:szCs w:val="20"/>
    </w:rPr>
  </w:style>
  <w:style w:type="table" w:styleId="-1">
    <w:name w:val="Light Shading Accent 1"/>
    <w:basedOn w:val="a1"/>
    <w:uiPriority w:val="60"/>
    <w:rsid w:val="002508E9"/>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ad">
    <w:name w:val="Normal (Web)"/>
    <w:basedOn w:val="a"/>
    <w:uiPriority w:val="99"/>
    <w:semiHidden/>
    <w:unhideWhenUsed/>
    <w:rsid w:val="00A42601"/>
    <w:pPr>
      <w:widowControl/>
      <w:spacing w:before="100" w:beforeAutospacing="1" w:after="100" w:afterAutospacing="1"/>
      <w:jc w:val="left"/>
    </w:pPr>
    <w:rPr>
      <w:rFonts w:cs="宋体"/>
      <w:kern w:val="0"/>
      <w:szCs w:val="24"/>
    </w:rPr>
  </w:style>
  <w:style w:type="character" w:customStyle="1" w:styleId="hrefstyle">
    <w:name w:val="hrefstyle"/>
    <w:basedOn w:val="a0"/>
    <w:rsid w:val="00A42601"/>
  </w:style>
  <w:style w:type="character" w:styleId="ae">
    <w:name w:val="Strong"/>
    <w:basedOn w:val="a0"/>
    <w:uiPriority w:val="22"/>
    <w:qFormat/>
    <w:rsid w:val="00C435E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06892">
      <w:bodyDiv w:val="1"/>
      <w:marLeft w:val="0"/>
      <w:marRight w:val="0"/>
      <w:marTop w:val="0"/>
      <w:marBottom w:val="0"/>
      <w:divBdr>
        <w:top w:val="none" w:sz="0" w:space="0" w:color="auto"/>
        <w:left w:val="none" w:sz="0" w:space="0" w:color="auto"/>
        <w:bottom w:val="none" w:sz="0" w:space="0" w:color="auto"/>
        <w:right w:val="none" w:sz="0" w:space="0" w:color="auto"/>
      </w:divBdr>
    </w:div>
    <w:div w:id="15541762">
      <w:bodyDiv w:val="1"/>
      <w:marLeft w:val="0"/>
      <w:marRight w:val="0"/>
      <w:marTop w:val="0"/>
      <w:marBottom w:val="0"/>
      <w:divBdr>
        <w:top w:val="none" w:sz="0" w:space="0" w:color="auto"/>
        <w:left w:val="none" w:sz="0" w:space="0" w:color="auto"/>
        <w:bottom w:val="none" w:sz="0" w:space="0" w:color="auto"/>
        <w:right w:val="none" w:sz="0" w:space="0" w:color="auto"/>
      </w:divBdr>
    </w:div>
    <w:div w:id="36126466">
      <w:bodyDiv w:val="1"/>
      <w:marLeft w:val="0"/>
      <w:marRight w:val="0"/>
      <w:marTop w:val="0"/>
      <w:marBottom w:val="0"/>
      <w:divBdr>
        <w:top w:val="none" w:sz="0" w:space="0" w:color="auto"/>
        <w:left w:val="none" w:sz="0" w:space="0" w:color="auto"/>
        <w:bottom w:val="none" w:sz="0" w:space="0" w:color="auto"/>
        <w:right w:val="none" w:sz="0" w:space="0" w:color="auto"/>
      </w:divBdr>
    </w:div>
    <w:div w:id="91249814">
      <w:bodyDiv w:val="1"/>
      <w:marLeft w:val="0"/>
      <w:marRight w:val="0"/>
      <w:marTop w:val="0"/>
      <w:marBottom w:val="0"/>
      <w:divBdr>
        <w:top w:val="none" w:sz="0" w:space="0" w:color="auto"/>
        <w:left w:val="none" w:sz="0" w:space="0" w:color="auto"/>
        <w:bottom w:val="none" w:sz="0" w:space="0" w:color="auto"/>
        <w:right w:val="none" w:sz="0" w:space="0" w:color="auto"/>
      </w:divBdr>
    </w:div>
    <w:div w:id="95373265">
      <w:bodyDiv w:val="1"/>
      <w:marLeft w:val="0"/>
      <w:marRight w:val="0"/>
      <w:marTop w:val="0"/>
      <w:marBottom w:val="0"/>
      <w:divBdr>
        <w:top w:val="none" w:sz="0" w:space="0" w:color="auto"/>
        <w:left w:val="none" w:sz="0" w:space="0" w:color="auto"/>
        <w:bottom w:val="none" w:sz="0" w:space="0" w:color="auto"/>
        <w:right w:val="none" w:sz="0" w:space="0" w:color="auto"/>
      </w:divBdr>
    </w:div>
    <w:div w:id="114955359">
      <w:bodyDiv w:val="1"/>
      <w:marLeft w:val="0"/>
      <w:marRight w:val="0"/>
      <w:marTop w:val="0"/>
      <w:marBottom w:val="0"/>
      <w:divBdr>
        <w:top w:val="none" w:sz="0" w:space="0" w:color="auto"/>
        <w:left w:val="none" w:sz="0" w:space="0" w:color="auto"/>
        <w:bottom w:val="none" w:sz="0" w:space="0" w:color="auto"/>
        <w:right w:val="none" w:sz="0" w:space="0" w:color="auto"/>
      </w:divBdr>
    </w:div>
    <w:div w:id="123081803">
      <w:bodyDiv w:val="1"/>
      <w:marLeft w:val="0"/>
      <w:marRight w:val="0"/>
      <w:marTop w:val="0"/>
      <w:marBottom w:val="0"/>
      <w:divBdr>
        <w:top w:val="none" w:sz="0" w:space="0" w:color="auto"/>
        <w:left w:val="none" w:sz="0" w:space="0" w:color="auto"/>
        <w:bottom w:val="none" w:sz="0" w:space="0" w:color="auto"/>
        <w:right w:val="none" w:sz="0" w:space="0" w:color="auto"/>
      </w:divBdr>
    </w:div>
    <w:div w:id="126044890">
      <w:bodyDiv w:val="1"/>
      <w:marLeft w:val="0"/>
      <w:marRight w:val="0"/>
      <w:marTop w:val="0"/>
      <w:marBottom w:val="0"/>
      <w:divBdr>
        <w:top w:val="none" w:sz="0" w:space="0" w:color="auto"/>
        <w:left w:val="none" w:sz="0" w:space="0" w:color="auto"/>
        <w:bottom w:val="none" w:sz="0" w:space="0" w:color="auto"/>
        <w:right w:val="none" w:sz="0" w:space="0" w:color="auto"/>
      </w:divBdr>
    </w:div>
    <w:div w:id="189689332">
      <w:bodyDiv w:val="1"/>
      <w:marLeft w:val="0"/>
      <w:marRight w:val="0"/>
      <w:marTop w:val="0"/>
      <w:marBottom w:val="0"/>
      <w:divBdr>
        <w:top w:val="none" w:sz="0" w:space="0" w:color="auto"/>
        <w:left w:val="none" w:sz="0" w:space="0" w:color="auto"/>
        <w:bottom w:val="none" w:sz="0" w:space="0" w:color="auto"/>
        <w:right w:val="none" w:sz="0" w:space="0" w:color="auto"/>
      </w:divBdr>
    </w:div>
    <w:div w:id="204489898">
      <w:bodyDiv w:val="1"/>
      <w:marLeft w:val="0"/>
      <w:marRight w:val="0"/>
      <w:marTop w:val="0"/>
      <w:marBottom w:val="0"/>
      <w:divBdr>
        <w:top w:val="none" w:sz="0" w:space="0" w:color="auto"/>
        <w:left w:val="none" w:sz="0" w:space="0" w:color="auto"/>
        <w:bottom w:val="none" w:sz="0" w:space="0" w:color="auto"/>
        <w:right w:val="none" w:sz="0" w:space="0" w:color="auto"/>
      </w:divBdr>
    </w:div>
    <w:div w:id="210921767">
      <w:bodyDiv w:val="1"/>
      <w:marLeft w:val="0"/>
      <w:marRight w:val="0"/>
      <w:marTop w:val="0"/>
      <w:marBottom w:val="0"/>
      <w:divBdr>
        <w:top w:val="none" w:sz="0" w:space="0" w:color="auto"/>
        <w:left w:val="none" w:sz="0" w:space="0" w:color="auto"/>
        <w:bottom w:val="none" w:sz="0" w:space="0" w:color="auto"/>
        <w:right w:val="none" w:sz="0" w:space="0" w:color="auto"/>
      </w:divBdr>
    </w:div>
    <w:div w:id="222907723">
      <w:bodyDiv w:val="1"/>
      <w:marLeft w:val="0"/>
      <w:marRight w:val="0"/>
      <w:marTop w:val="0"/>
      <w:marBottom w:val="0"/>
      <w:divBdr>
        <w:top w:val="none" w:sz="0" w:space="0" w:color="auto"/>
        <w:left w:val="none" w:sz="0" w:space="0" w:color="auto"/>
        <w:bottom w:val="none" w:sz="0" w:space="0" w:color="auto"/>
        <w:right w:val="none" w:sz="0" w:space="0" w:color="auto"/>
      </w:divBdr>
    </w:div>
    <w:div w:id="226696225">
      <w:bodyDiv w:val="1"/>
      <w:marLeft w:val="0"/>
      <w:marRight w:val="0"/>
      <w:marTop w:val="0"/>
      <w:marBottom w:val="0"/>
      <w:divBdr>
        <w:top w:val="none" w:sz="0" w:space="0" w:color="auto"/>
        <w:left w:val="none" w:sz="0" w:space="0" w:color="auto"/>
        <w:bottom w:val="none" w:sz="0" w:space="0" w:color="auto"/>
        <w:right w:val="none" w:sz="0" w:space="0" w:color="auto"/>
      </w:divBdr>
    </w:div>
    <w:div w:id="252134371">
      <w:bodyDiv w:val="1"/>
      <w:marLeft w:val="0"/>
      <w:marRight w:val="0"/>
      <w:marTop w:val="0"/>
      <w:marBottom w:val="0"/>
      <w:divBdr>
        <w:top w:val="none" w:sz="0" w:space="0" w:color="auto"/>
        <w:left w:val="none" w:sz="0" w:space="0" w:color="auto"/>
        <w:bottom w:val="none" w:sz="0" w:space="0" w:color="auto"/>
        <w:right w:val="none" w:sz="0" w:space="0" w:color="auto"/>
      </w:divBdr>
    </w:div>
    <w:div w:id="252517857">
      <w:bodyDiv w:val="1"/>
      <w:marLeft w:val="0"/>
      <w:marRight w:val="0"/>
      <w:marTop w:val="0"/>
      <w:marBottom w:val="0"/>
      <w:divBdr>
        <w:top w:val="none" w:sz="0" w:space="0" w:color="auto"/>
        <w:left w:val="none" w:sz="0" w:space="0" w:color="auto"/>
        <w:bottom w:val="none" w:sz="0" w:space="0" w:color="auto"/>
        <w:right w:val="none" w:sz="0" w:space="0" w:color="auto"/>
      </w:divBdr>
    </w:div>
    <w:div w:id="276256869">
      <w:bodyDiv w:val="1"/>
      <w:marLeft w:val="0"/>
      <w:marRight w:val="0"/>
      <w:marTop w:val="0"/>
      <w:marBottom w:val="0"/>
      <w:divBdr>
        <w:top w:val="none" w:sz="0" w:space="0" w:color="auto"/>
        <w:left w:val="none" w:sz="0" w:space="0" w:color="auto"/>
        <w:bottom w:val="none" w:sz="0" w:space="0" w:color="auto"/>
        <w:right w:val="none" w:sz="0" w:space="0" w:color="auto"/>
      </w:divBdr>
    </w:div>
    <w:div w:id="278801917">
      <w:bodyDiv w:val="1"/>
      <w:marLeft w:val="0"/>
      <w:marRight w:val="0"/>
      <w:marTop w:val="0"/>
      <w:marBottom w:val="0"/>
      <w:divBdr>
        <w:top w:val="none" w:sz="0" w:space="0" w:color="auto"/>
        <w:left w:val="none" w:sz="0" w:space="0" w:color="auto"/>
        <w:bottom w:val="none" w:sz="0" w:space="0" w:color="auto"/>
        <w:right w:val="none" w:sz="0" w:space="0" w:color="auto"/>
      </w:divBdr>
    </w:div>
    <w:div w:id="298607968">
      <w:bodyDiv w:val="1"/>
      <w:marLeft w:val="0"/>
      <w:marRight w:val="0"/>
      <w:marTop w:val="0"/>
      <w:marBottom w:val="0"/>
      <w:divBdr>
        <w:top w:val="none" w:sz="0" w:space="0" w:color="auto"/>
        <w:left w:val="none" w:sz="0" w:space="0" w:color="auto"/>
        <w:bottom w:val="none" w:sz="0" w:space="0" w:color="auto"/>
        <w:right w:val="none" w:sz="0" w:space="0" w:color="auto"/>
      </w:divBdr>
    </w:div>
    <w:div w:id="306860995">
      <w:bodyDiv w:val="1"/>
      <w:marLeft w:val="0"/>
      <w:marRight w:val="0"/>
      <w:marTop w:val="0"/>
      <w:marBottom w:val="0"/>
      <w:divBdr>
        <w:top w:val="none" w:sz="0" w:space="0" w:color="auto"/>
        <w:left w:val="none" w:sz="0" w:space="0" w:color="auto"/>
        <w:bottom w:val="none" w:sz="0" w:space="0" w:color="auto"/>
        <w:right w:val="none" w:sz="0" w:space="0" w:color="auto"/>
      </w:divBdr>
    </w:div>
    <w:div w:id="324869017">
      <w:bodyDiv w:val="1"/>
      <w:marLeft w:val="0"/>
      <w:marRight w:val="0"/>
      <w:marTop w:val="0"/>
      <w:marBottom w:val="0"/>
      <w:divBdr>
        <w:top w:val="none" w:sz="0" w:space="0" w:color="auto"/>
        <w:left w:val="none" w:sz="0" w:space="0" w:color="auto"/>
        <w:bottom w:val="none" w:sz="0" w:space="0" w:color="auto"/>
        <w:right w:val="none" w:sz="0" w:space="0" w:color="auto"/>
      </w:divBdr>
    </w:div>
    <w:div w:id="347022854">
      <w:bodyDiv w:val="1"/>
      <w:marLeft w:val="0"/>
      <w:marRight w:val="0"/>
      <w:marTop w:val="0"/>
      <w:marBottom w:val="0"/>
      <w:divBdr>
        <w:top w:val="none" w:sz="0" w:space="0" w:color="auto"/>
        <w:left w:val="none" w:sz="0" w:space="0" w:color="auto"/>
        <w:bottom w:val="none" w:sz="0" w:space="0" w:color="auto"/>
        <w:right w:val="none" w:sz="0" w:space="0" w:color="auto"/>
      </w:divBdr>
    </w:div>
    <w:div w:id="365328186">
      <w:bodyDiv w:val="1"/>
      <w:marLeft w:val="0"/>
      <w:marRight w:val="0"/>
      <w:marTop w:val="0"/>
      <w:marBottom w:val="0"/>
      <w:divBdr>
        <w:top w:val="none" w:sz="0" w:space="0" w:color="auto"/>
        <w:left w:val="none" w:sz="0" w:space="0" w:color="auto"/>
        <w:bottom w:val="none" w:sz="0" w:space="0" w:color="auto"/>
        <w:right w:val="none" w:sz="0" w:space="0" w:color="auto"/>
      </w:divBdr>
    </w:div>
    <w:div w:id="366684675">
      <w:bodyDiv w:val="1"/>
      <w:marLeft w:val="0"/>
      <w:marRight w:val="0"/>
      <w:marTop w:val="0"/>
      <w:marBottom w:val="0"/>
      <w:divBdr>
        <w:top w:val="none" w:sz="0" w:space="0" w:color="auto"/>
        <w:left w:val="none" w:sz="0" w:space="0" w:color="auto"/>
        <w:bottom w:val="none" w:sz="0" w:space="0" w:color="auto"/>
        <w:right w:val="none" w:sz="0" w:space="0" w:color="auto"/>
      </w:divBdr>
    </w:div>
    <w:div w:id="387266309">
      <w:bodyDiv w:val="1"/>
      <w:marLeft w:val="0"/>
      <w:marRight w:val="0"/>
      <w:marTop w:val="0"/>
      <w:marBottom w:val="0"/>
      <w:divBdr>
        <w:top w:val="none" w:sz="0" w:space="0" w:color="auto"/>
        <w:left w:val="none" w:sz="0" w:space="0" w:color="auto"/>
        <w:bottom w:val="none" w:sz="0" w:space="0" w:color="auto"/>
        <w:right w:val="none" w:sz="0" w:space="0" w:color="auto"/>
      </w:divBdr>
    </w:div>
    <w:div w:id="405808038">
      <w:bodyDiv w:val="1"/>
      <w:marLeft w:val="0"/>
      <w:marRight w:val="0"/>
      <w:marTop w:val="0"/>
      <w:marBottom w:val="0"/>
      <w:divBdr>
        <w:top w:val="none" w:sz="0" w:space="0" w:color="auto"/>
        <w:left w:val="none" w:sz="0" w:space="0" w:color="auto"/>
        <w:bottom w:val="none" w:sz="0" w:space="0" w:color="auto"/>
        <w:right w:val="none" w:sz="0" w:space="0" w:color="auto"/>
      </w:divBdr>
    </w:div>
    <w:div w:id="423305413">
      <w:bodyDiv w:val="1"/>
      <w:marLeft w:val="0"/>
      <w:marRight w:val="0"/>
      <w:marTop w:val="0"/>
      <w:marBottom w:val="0"/>
      <w:divBdr>
        <w:top w:val="none" w:sz="0" w:space="0" w:color="auto"/>
        <w:left w:val="none" w:sz="0" w:space="0" w:color="auto"/>
        <w:bottom w:val="none" w:sz="0" w:space="0" w:color="auto"/>
        <w:right w:val="none" w:sz="0" w:space="0" w:color="auto"/>
      </w:divBdr>
    </w:div>
    <w:div w:id="447356739">
      <w:bodyDiv w:val="1"/>
      <w:marLeft w:val="0"/>
      <w:marRight w:val="0"/>
      <w:marTop w:val="0"/>
      <w:marBottom w:val="0"/>
      <w:divBdr>
        <w:top w:val="none" w:sz="0" w:space="0" w:color="auto"/>
        <w:left w:val="none" w:sz="0" w:space="0" w:color="auto"/>
        <w:bottom w:val="none" w:sz="0" w:space="0" w:color="auto"/>
        <w:right w:val="none" w:sz="0" w:space="0" w:color="auto"/>
      </w:divBdr>
    </w:div>
    <w:div w:id="452987651">
      <w:bodyDiv w:val="1"/>
      <w:marLeft w:val="0"/>
      <w:marRight w:val="0"/>
      <w:marTop w:val="0"/>
      <w:marBottom w:val="0"/>
      <w:divBdr>
        <w:top w:val="none" w:sz="0" w:space="0" w:color="auto"/>
        <w:left w:val="none" w:sz="0" w:space="0" w:color="auto"/>
        <w:bottom w:val="none" w:sz="0" w:space="0" w:color="auto"/>
        <w:right w:val="none" w:sz="0" w:space="0" w:color="auto"/>
      </w:divBdr>
    </w:div>
    <w:div w:id="467087131">
      <w:bodyDiv w:val="1"/>
      <w:marLeft w:val="0"/>
      <w:marRight w:val="0"/>
      <w:marTop w:val="0"/>
      <w:marBottom w:val="0"/>
      <w:divBdr>
        <w:top w:val="none" w:sz="0" w:space="0" w:color="auto"/>
        <w:left w:val="none" w:sz="0" w:space="0" w:color="auto"/>
        <w:bottom w:val="none" w:sz="0" w:space="0" w:color="auto"/>
        <w:right w:val="none" w:sz="0" w:space="0" w:color="auto"/>
      </w:divBdr>
    </w:div>
    <w:div w:id="478113044">
      <w:bodyDiv w:val="1"/>
      <w:marLeft w:val="0"/>
      <w:marRight w:val="0"/>
      <w:marTop w:val="0"/>
      <w:marBottom w:val="0"/>
      <w:divBdr>
        <w:top w:val="none" w:sz="0" w:space="0" w:color="auto"/>
        <w:left w:val="none" w:sz="0" w:space="0" w:color="auto"/>
        <w:bottom w:val="none" w:sz="0" w:space="0" w:color="auto"/>
        <w:right w:val="none" w:sz="0" w:space="0" w:color="auto"/>
      </w:divBdr>
    </w:div>
    <w:div w:id="482701231">
      <w:bodyDiv w:val="1"/>
      <w:marLeft w:val="0"/>
      <w:marRight w:val="0"/>
      <w:marTop w:val="0"/>
      <w:marBottom w:val="0"/>
      <w:divBdr>
        <w:top w:val="none" w:sz="0" w:space="0" w:color="auto"/>
        <w:left w:val="none" w:sz="0" w:space="0" w:color="auto"/>
        <w:bottom w:val="none" w:sz="0" w:space="0" w:color="auto"/>
        <w:right w:val="none" w:sz="0" w:space="0" w:color="auto"/>
      </w:divBdr>
    </w:div>
    <w:div w:id="495464765">
      <w:bodyDiv w:val="1"/>
      <w:marLeft w:val="0"/>
      <w:marRight w:val="0"/>
      <w:marTop w:val="0"/>
      <w:marBottom w:val="0"/>
      <w:divBdr>
        <w:top w:val="none" w:sz="0" w:space="0" w:color="auto"/>
        <w:left w:val="none" w:sz="0" w:space="0" w:color="auto"/>
        <w:bottom w:val="none" w:sz="0" w:space="0" w:color="auto"/>
        <w:right w:val="none" w:sz="0" w:space="0" w:color="auto"/>
      </w:divBdr>
    </w:div>
    <w:div w:id="507410100">
      <w:bodyDiv w:val="1"/>
      <w:marLeft w:val="0"/>
      <w:marRight w:val="0"/>
      <w:marTop w:val="0"/>
      <w:marBottom w:val="0"/>
      <w:divBdr>
        <w:top w:val="none" w:sz="0" w:space="0" w:color="auto"/>
        <w:left w:val="none" w:sz="0" w:space="0" w:color="auto"/>
        <w:bottom w:val="none" w:sz="0" w:space="0" w:color="auto"/>
        <w:right w:val="none" w:sz="0" w:space="0" w:color="auto"/>
      </w:divBdr>
    </w:div>
    <w:div w:id="508251925">
      <w:bodyDiv w:val="1"/>
      <w:marLeft w:val="0"/>
      <w:marRight w:val="0"/>
      <w:marTop w:val="0"/>
      <w:marBottom w:val="0"/>
      <w:divBdr>
        <w:top w:val="none" w:sz="0" w:space="0" w:color="auto"/>
        <w:left w:val="none" w:sz="0" w:space="0" w:color="auto"/>
        <w:bottom w:val="none" w:sz="0" w:space="0" w:color="auto"/>
        <w:right w:val="none" w:sz="0" w:space="0" w:color="auto"/>
      </w:divBdr>
    </w:div>
    <w:div w:id="514611018">
      <w:bodyDiv w:val="1"/>
      <w:marLeft w:val="0"/>
      <w:marRight w:val="0"/>
      <w:marTop w:val="0"/>
      <w:marBottom w:val="0"/>
      <w:divBdr>
        <w:top w:val="none" w:sz="0" w:space="0" w:color="auto"/>
        <w:left w:val="none" w:sz="0" w:space="0" w:color="auto"/>
        <w:bottom w:val="none" w:sz="0" w:space="0" w:color="auto"/>
        <w:right w:val="none" w:sz="0" w:space="0" w:color="auto"/>
      </w:divBdr>
    </w:div>
    <w:div w:id="570769975">
      <w:bodyDiv w:val="1"/>
      <w:marLeft w:val="0"/>
      <w:marRight w:val="0"/>
      <w:marTop w:val="0"/>
      <w:marBottom w:val="0"/>
      <w:divBdr>
        <w:top w:val="none" w:sz="0" w:space="0" w:color="auto"/>
        <w:left w:val="none" w:sz="0" w:space="0" w:color="auto"/>
        <w:bottom w:val="none" w:sz="0" w:space="0" w:color="auto"/>
        <w:right w:val="none" w:sz="0" w:space="0" w:color="auto"/>
      </w:divBdr>
    </w:div>
    <w:div w:id="587350649">
      <w:bodyDiv w:val="1"/>
      <w:marLeft w:val="0"/>
      <w:marRight w:val="0"/>
      <w:marTop w:val="0"/>
      <w:marBottom w:val="0"/>
      <w:divBdr>
        <w:top w:val="none" w:sz="0" w:space="0" w:color="auto"/>
        <w:left w:val="none" w:sz="0" w:space="0" w:color="auto"/>
        <w:bottom w:val="none" w:sz="0" w:space="0" w:color="auto"/>
        <w:right w:val="none" w:sz="0" w:space="0" w:color="auto"/>
      </w:divBdr>
    </w:div>
    <w:div w:id="588080870">
      <w:bodyDiv w:val="1"/>
      <w:marLeft w:val="0"/>
      <w:marRight w:val="0"/>
      <w:marTop w:val="0"/>
      <w:marBottom w:val="0"/>
      <w:divBdr>
        <w:top w:val="none" w:sz="0" w:space="0" w:color="auto"/>
        <w:left w:val="none" w:sz="0" w:space="0" w:color="auto"/>
        <w:bottom w:val="none" w:sz="0" w:space="0" w:color="auto"/>
        <w:right w:val="none" w:sz="0" w:space="0" w:color="auto"/>
      </w:divBdr>
    </w:div>
    <w:div w:id="631788129">
      <w:bodyDiv w:val="1"/>
      <w:marLeft w:val="0"/>
      <w:marRight w:val="0"/>
      <w:marTop w:val="0"/>
      <w:marBottom w:val="0"/>
      <w:divBdr>
        <w:top w:val="none" w:sz="0" w:space="0" w:color="auto"/>
        <w:left w:val="none" w:sz="0" w:space="0" w:color="auto"/>
        <w:bottom w:val="none" w:sz="0" w:space="0" w:color="auto"/>
        <w:right w:val="none" w:sz="0" w:space="0" w:color="auto"/>
      </w:divBdr>
    </w:div>
    <w:div w:id="642735126">
      <w:bodyDiv w:val="1"/>
      <w:marLeft w:val="0"/>
      <w:marRight w:val="0"/>
      <w:marTop w:val="0"/>
      <w:marBottom w:val="0"/>
      <w:divBdr>
        <w:top w:val="none" w:sz="0" w:space="0" w:color="auto"/>
        <w:left w:val="none" w:sz="0" w:space="0" w:color="auto"/>
        <w:bottom w:val="none" w:sz="0" w:space="0" w:color="auto"/>
        <w:right w:val="none" w:sz="0" w:space="0" w:color="auto"/>
      </w:divBdr>
    </w:div>
    <w:div w:id="655768465">
      <w:bodyDiv w:val="1"/>
      <w:marLeft w:val="0"/>
      <w:marRight w:val="0"/>
      <w:marTop w:val="0"/>
      <w:marBottom w:val="0"/>
      <w:divBdr>
        <w:top w:val="none" w:sz="0" w:space="0" w:color="auto"/>
        <w:left w:val="none" w:sz="0" w:space="0" w:color="auto"/>
        <w:bottom w:val="none" w:sz="0" w:space="0" w:color="auto"/>
        <w:right w:val="none" w:sz="0" w:space="0" w:color="auto"/>
      </w:divBdr>
    </w:div>
    <w:div w:id="660084994">
      <w:bodyDiv w:val="1"/>
      <w:marLeft w:val="0"/>
      <w:marRight w:val="0"/>
      <w:marTop w:val="0"/>
      <w:marBottom w:val="0"/>
      <w:divBdr>
        <w:top w:val="none" w:sz="0" w:space="0" w:color="auto"/>
        <w:left w:val="none" w:sz="0" w:space="0" w:color="auto"/>
        <w:bottom w:val="none" w:sz="0" w:space="0" w:color="auto"/>
        <w:right w:val="none" w:sz="0" w:space="0" w:color="auto"/>
      </w:divBdr>
    </w:div>
    <w:div w:id="709962681">
      <w:bodyDiv w:val="1"/>
      <w:marLeft w:val="0"/>
      <w:marRight w:val="0"/>
      <w:marTop w:val="0"/>
      <w:marBottom w:val="0"/>
      <w:divBdr>
        <w:top w:val="none" w:sz="0" w:space="0" w:color="auto"/>
        <w:left w:val="none" w:sz="0" w:space="0" w:color="auto"/>
        <w:bottom w:val="none" w:sz="0" w:space="0" w:color="auto"/>
        <w:right w:val="none" w:sz="0" w:space="0" w:color="auto"/>
      </w:divBdr>
    </w:div>
    <w:div w:id="718941386">
      <w:bodyDiv w:val="1"/>
      <w:marLeft w:val="0"/>
      <w:marRight w:val="0"/>
      <w:marTop w:val="0"/>
      <w:marBottom w:val="0"/>
      <w:divBdr>
        <w:top w:val="none" w:sz="0" w:space="0" w:color="auto"/>
        <w:left w:val="none" w:sz="0" w:space="0" w:color="auto"/>
        <w:bottom w:val="none" w:sz="0" w:space="0" w:color="auto"/>
        <w:right w:val="none" w:sz="0" w:space="0" w:color="auto"/>
      </w:divBdr>
    </w:div>
    <w:div w:id="743726504">
      <w:bodyDiv w:val="1"/>
      <w:marLeft w:val="0"/>
      <w:marRight w:val="0"/>
      <w:marTop w:val="0"/>
      <w:marBottom w:val="0"/>
      <w:divBdr>
        <w:top w:val="none" w:sz="0" w:space="0" w:color="auto"/>
        <w:left w:val="none" w:sz="0" w:space="0" w:color="auto"/>
        <w:bottom w:val="none" w:sz="0" w:space="0" w:color="auto"/>
        <w:right w:val="none" w:sz="0" w:space="0" w:color="auto"/>
      </w:divBdr>
    </w:div>
    <w:div w:id="754014943">
      <w:bodyDiv w:val="1"/>
      <w:marLeft w:val="0"/>
      <w:marRight w:val="0"/>
      <w:marTop w:val="0"/>
      <w:marBottom w:val="0"/>
      <w:divBdr>
        <w:top w:val="none" w:sz="0" w:space="0" w:color="auto"/>
        <w:left w:val="none" w:sz="0" w:space="0" w:color="auto"/>
        <w:bottom w:val="none" w:sz="0" w:space="0" w:color="auto"/>
        <w:right w:val="none" w:sz="0" w:space="0" w:color="auto"/>
      </w:divBdr>
    </w:div>
    <w:div w:id="784933867">
      <w:bodyDiv w:val="1"/>
      <w:marLeft w:val="0"/>
      <w:marRight w:val="0"/>
      <w:marTop w:val="0"/>
      <w:marBottom w:val="0"/>
      <w:divBdr>
        <w:top w:val="none" w:sz="0" w:space="0" w:color="auto"/>
        <w:left w:val="none" w:sz="0" w:space="0" w:color="auto"/>
        <w:bottom w:val="none" w:sz="0" w:space="0" w:color="auto"/>
        <w:right w:val="none" w:sz="0" w:space="0" w:color="auto"/>
      </w:divBdr>
    </w:div>
    <w:div w:id="801271096">
      <w:bodyDiv w:val="1"/>
      <w:marLeft w:val="0"/>
      <w:marRight w:val="0"/>
      <w:marTop w:val="0"/>
      <w:marBottom w:val="0"/>
      <w:divBdr>
        <w:top w:val="none" w:sz="0" w:space="0" w:color="auto"/>
        <w:left w:val="none" w:sz="0" w:space="0" w:color="auto"/>
        <w:bottom w:val="none" w:sz="0" w:space="0" w:color="auto"/>
        <w:right w:val="none" w:sz="0" w:space="0" w:color="auto"/>
      </w:divBdr>
    </w:div>
    <w:div w:id="810707805">
      <w:bodyDiv w:val="1"/>
      <w:marLeft w:val="0"/>
      <w:marRight w:val="0"/>
      <w:marTop w:val="0"/>
      <w:marBottom w:val="0"/>
      <w:divBdr>
        <w:top w:val="none" w:sz="0" w:space="0" w:color="auto"/>
        <w:left w:val="none" w:sz="0" w:space="0" w:color="auto"/>
        <w:bottom w:val="none" w:sz="0" w:space="0" w:color="auto"/>
        <w:right w:val="none" w:sz="0" w:space="0" w:color="auto"/>
      </w:divBdr>
    </w:div>
    <w:div w:id="831221443">
      <w:bodyDiv w:val="1"/>
      <w:marLeft w:val="0"/>
      <w:marRight w:val="0"/>
      <w:marTop w:val="0"/>
      <w:marBottom w:val="0"/>
      <w:divBdr>
        <w:top w:val="none" w:sz="0" w:space="0" w:color="auto"/>
        <w:left w:val="none" w:sz="0" w:space="0" w:color="auto"/>
        <w:bottom w:val="none" w:sz="0" w:space="0" w:color="auto"/>
        <w:right w:val="none" w:sz="0" w:space="0" w:color="auto"/>
      </w:divBdr>
    </w:div>
    <w:div w:id="838693214">
      <w:bodyDiv w:val="1"/>
      <w:marLeft w:val="0"/>
      <w:marRight w:val="0"/>
      <w:marTop w:val="0"/>
      <w:marBottom w:val="0"/>
      <w:divBdr>
        <w:top w:val="none" w:sz="0" w:space="0" w:color="auto"/>
        <w:left w:val="none" w:sz="0" w:space="0" w:color="auto"/>
        <w:bottom w:val="none" w:sz="0" w:space="0" w:color="auto"/>
        <w:right w:val="none" w:sz="0" w:space="0" w:color="auto"/>
      </w:divBdr>
    </w:div>
    <w:div w:id="852768683">
      <w:bodyDiv w:val="1"/>
      <w:marLeft w:val="0"/>
      <w:marRight w:val="0"/>
      <w:marTop w:val="0"/>
      <w:marBottom w:val="0"/>
      <w:divBdr>
        <w:top w:val="none" w:sz="0" w:space="0" w:color="auto"/>
        <w:left w:val="none" w:sz="0" w:space="0" w:color="auto"/>
        <w:bottom w:val="none" w:sz="0" w:space="0" w:color="auto"/>
        <w:right w:val="none" w:sz="0" w:space="0" w:color="auto"/>
      </w:divBdr>
    </w:div>
    <w:div w:id="864054145">
      <w:bodyDiv w:val="1"/>
      <w:marLeft w:val="0"/>
      <w:marRight w:val="0"/>
      <w:marTop w:val="0"/>
      <w:marBottom w:val="0"/>
      <w:divBdr>
        <w:top w:val="none" w:sz="0" w:space="0" w:color="auto"/>
        <w:left w:val="none" w:sz="0" w:space="0" w:color="auto"/>
        <w:bottom w:val="none" w:sz="0" w:space="0" w:color="auto"/>
        <w:right w:val="none" w:sz="0" w:space="0" w:color="auto"/>
      </w:divBdr>
    </w:div>
    <w:div w:id="893080640">
      <w:bodyDiv w:val="1"/>
      <w:marLeft w:val="0"/>
      <w:marRight w:val="0"/>
      <w:marTop w:val="0"/>
      <w:marBottom w:val="0"/>
      <w:divBdr>
        <w:top w:val="none" w:sz="0" w:space="0" w:color="auto"/>
        <w:left w:val="none" w:sz="0" w:space="0" w:color="auto"/>
        <w:bottom w:val="none" w:sz="0" w:space="0" w:color="auto"/>
        <w:right w:val="none" w:sz="0" w:space="0" w:color="auto"/>
      </w:divBdr>
    </w:div>
    <w:div w:id="942609599">
      <w:bodyDiv w:val="1"/>
      <w:marLeft w:val="0"/>
      <w:marRight w:val="0"/>
      <w:marTop w:val="0"/>
      <w:marBottom w:val="0"/>
      <w:divBdr>
        <w:top w:val="none" w:sz="0" w:space="0" w:color="auto"/>
        <w:left w:val="none" w:sz="0" w:space="0" w:color="auto"/>
        <w:bottom w:val="none" w:sz="0" w:space="0" w:color="auto"/>
        <w:right w:val="none" w:sz="0" w:space="0" w:color="auto"/>
      </w:divBdr>
    </w:div>
    <w:div w:id="946233408">
      <w:bodyDiv w:val="1"/>
      <w:marLeft w:val="0"/>
      <w:marRight w:val="0"/>
      <w:marTop w:val="0"/>
      <w:marBottom w:val="0"/>
      <w:divBdr>
        <w:top w:val="none" w:sz="0" w:space="0" w:color="auto"/>
        <w:left w:val="none" w:sz="0" w:space="0" w:color="auto"/>
        <w:bottom w:val="none" w:sz="0" w:space="0" w:color="auto"/>
        <w:right w:val="none" w:sz="0" w:space="0" w:color="auto"/>
      </w:divBdr>
    </w:div>
    <w:div w:id="947127745">
      <w:bodyDiv w:val="1"/>
      <w:marLeft w:val="0"/>
      <w:marRight w:val="0"/>
      <w:marTop w:val="0"/>
      <w:marBottom w:val="0"/>
      <w:divBdr>
        <w:top w:val="none" w:sz="0" w:space="0" w:color="auto"/>
        <w:left w:val="none" w:sz="0" w:space="0" w:color="auto"/>
        <w:bottom w:val="none" w:sz="0" w:space="0" w:color="auto"/>
        <w:right w:val="none" w:sz="0" w:space="0" w:color="auto"/>
      </w:divBdr>
    </w:div>
    <w:div w:id="963190748">
      <w:bodyDiv w:val="1"/>
      <w:marLeft w:val="0"/>
      <w:marRight w:val="0"/>
      <w:marTop w:val="0"/>
      <w:marBottom w:val="0"/>
      <w:divBdr>
        <w:top w:val="none" w:sz="0" w:space="0" w:color="auto"/>
        <w:left w:val="none" w:sz="0" w:space="0" w:color="auto"/>
        <w:bottom w:val="none" w:sz="0" w:space="0" w:color="auto"/>
        <w:right w:val="none" w:sz="0" w:space="0" w:color="auto"/>
      </w:divBdr>
    </w:div>
    <w:div w:id="998121968">
      <w:bodyDiv w:val="1"/>
      <w:marLeft w:val="0"/>
      <w:marRight w:val="0"/>
      <w:marTop w:val="0"/>
      <w:marBottom w:val="0"/>
      <w:divBdr>
        <w:top w:val="none" w:sz="0" w:space="0" w:color="auto"/>
        <w:left w:val="none" w:sz="0" w:space="0" w:color="auto"/>
        <w:bottom w:val="none" w:sz="0" w:space="0" w:color="auto"/>
        <w:right w:val="none" w:sz="0" w:space="0" w:color="auto"/>
      </w:divBdr>
    </w:div>
    <w:div w:id="1012609053">
      <w:bodyDiv w:val="1"/>
      <w:marLeft w:val="0"/>
      <w:marRight w:val="0"/>
      <w:marTop w:val="0"/>
      <w:marBottom w:val="0"/>
      <w:divBdr>
        <w:top w:val="none" w:sz="0" w:space="0" w:color="auto"/>
        <w:left w:val="none" w:sz="0" w:space="0" w:color="auto"/>
        <w:bottom w:val="none" w:sz="0" w:space="0" w:color="auto"/>
        <w:right w:val="none" w:sz="0" w:space="0" w:color="auto"/>
      </w:divBdr>
    </w:div>
    <w:div w:id="1029181545">
      <w:bodyDiv w:val="1"/>
      <w:marLeft w:val="0"/>
      <w:marRight w:val="0"/>
      <w:marTop w:val="0"/>
      <w:marBottom w:val="0"/>
      <w:divBdr>
        <w:top w:val="none" w:sz="0" w:space="0" w:color="auto"/>
        <w:left w:val="none" w:sz="0" w:space="0" w:color="auto"/>
        <w:bottom w:val="none" w:sz="0" w:space="0" w:color="auto"/>
        <w:right w:val="none" w:sz="0" w:space="0" w:color="auto"/>
      </w:divBdr>
    </w:div>
    <w:div w:id="1033456622">
      <w:bodyDiv w:val="1"/>
      <w:marLeft w:val="0"/>
      <w:marRight w:val="0"/>
      <w:marTop w:val="0"/>
      <w:marBottom w:val="0"/>
      <w:divBdr>
        <w:top w:val="none" w:sz="0" w:space="0" w:color="auto"/>
        <w:left w:val="none" w:sz="0" w:space="0" w:color="auto"/>
        <w:bottom w:val="none" w:sz="0" w:space="0" w:color="auto"/>
        <w:right w:val="none" w:sz="0" w:space="0" w:color="auto"/>
      </w:divBdr>
    </w:div>
    <w:div w:id="1049839873">
      <w:bodyDiv w:val="1"/>
      <w:marLeft w:val="0"/>
      <w:marRight w:val="0"/>
      <w:marTop w:val="0"/>
      <w:marBottom w:val="0"/>
      <w:divBdr>
        <w:top w:val="none" w:sz="0" w:space="0" w:color="auto"/>
        <w:left w:val="none" w:sz="0" w:space="0" w:color="auto"/>
        <w:bottom w:val="none" w:sz="0" w:space="0" w:color="auto"/>
        <w:right w:val="none" w:sz="0" w:space="0" w:color="auto"/>
      </w:divBdr>
    </w:div>
    <w:div w:id="1061442132">
      <w:bodyDiv w:val="1"/>
      <w:marLeft w:val="0"/>
      <w:marRight w:val="0"/>
      <w:marTop w:val="0"/>
      <w:marBottom w:val="0"/>
      <w:divBdr>
        <w:top w:val="none" w:sz="0" w:space="0" w:color="auto"/>
        <w:left w:val="none" w:sz="0" w:space="0" w:color="auto"/>
        <w:bottom w:val="none" w:sz="0" w:space="0" w:color="auto"/>
        <w:right w:val="none" w:sz="0" w:space="0" w:color="auto"/>
      </w:divBdr>
    </w:div>
    <w:div w:id="1084301216">
      <w:bodyDiv w:val="1"/>
      <w:marLeft w:val="0"/>
      <w:marRight w:val="0"/>
      <w:marTop w:val="0"/>
      <w:marBottom w:val="0"/>
      <w:divBdr>
        <w:top w:val="none" w:sz="0" w:space="0" w:color="auto"/>
        <w:left w:val="none" w:sz="0" w:space="0" w:color="auto"/>
        <w:bottom w:val="none" w:sz="0" w:space="0" w:color="auto"/>
        <w:right w:val="none" w:sz="0" w:space="0" w:color="auto"/>
      </w:divBdr>
    </w:div>
    <w:div w:id="1098255911">
      <w:bodyDiv w:val="1"/>
      <w:marLeft w:val="0"/>
      <w:marRight w:val="0"/>
      <w:marTop w:val="0"/>
      <w:marBottom w:val="0"/>
      <w:divBdr>
        <w:top w:val="none" w:sz="0" w:space="0" w:color="auto"/>
        <w:left w:val="none" w:sz="0" w:space="0" w:color="auto"/>
        <w:bottom w:val="none" w:sz="0" w:space="0" w:color="auto"/>
        <w:right w:val="none" w:sz="0" w:space="0" w:color="auto"/>
      </w:divBdr>
    </w:div>
    <w:div w:id="1100443186">
      <w:bodyDiv w:val="1"/>
      <w:marLeft w:val="0"/>
      <w:marRight w:val="0"/>
      <w:marTop w:val="0"/>
      <w:marBottom w:val="0"/>
      <w:divBdr>
        <w:top w:val="none" w:sz="0" w:space="0" w:color="auto"/>
        <w:left w:val="none" w:sz="0" w:space="0" w:color="auto"/>
        <w:bottom w:val="none" w:sz="0" w:space="0" w:color="auto"/>
        <w:right w:val="none" w:sz="0" w:space="0" w:color="auto"/>
      </w:divBdr>
    </w:div>
    <w:div w:id="1128621394">
      <w:bodyDiv w:val="1"/>
      <w:marLeft w:val="0"/>
      <w:marRight w:val="0"/>
      <w:marTop w:val="0"/>
      <w:marBottom w:val="0"/>
      <w:divBdr>
        <w:top w:val="none" w:sz="0" w:space="0" w:color="auto"/>
        <w:left w:val="none" w:sz="0" w:space="0" w:color="auto"/>
        <w:bottom w:val="none" w:sz="0" w:space="0" w:color="auto"/>
        <w:right w:val="none" w:sz="0" w:space="0" w:color="auto"/>
      </w:divBdr>
    </w:div>
    <w:div w:id="1180702850">
      <w:bodyDiv w:val="1"/>
      <w:marLeft w:val="0"/>
      <w:marRight w:val="0"/>
      <w:marTop w:val="0"/>
      <w:marBottom w:val="0"/>
      <w:divBdr>
        <w:top w:val="none" w:sz="0" w:space="0" w:color="auto"/>
        <w:left w:val="none" w:sz="0" w:space="0" w:color="auto"/>
        <w:bottom w:val="none" w:sz="0" w:space="0" w:color="auto"/>
        <w:right w:val="none" w:sz="0" w:space="0" w:color="auto"/>
      </w:divBdr>
    </w:div>
    <w:div w:id="1197964488">
      <w:bodyDiv w:val="1"/>
      <w:marLeft w:val="0"/>
      <w:marRight w:val="0"/>
      <w:marTop w:val="0"/>
      <w:marBottom w:val="0"/>
      <w:divBdr>
        <w:top w:val="none" w:sz="0" w:space="0" w:color="auto"/>
        <w:left w:val="none" w:sz="0" w:space="0" w:color="auto"/>
        <w:bottom w:val="none" w:sz="0" w:space="0" w:color="auto"/>
        <w:right w:val="none" w:sz="0" w:space="0" w:color="auto"/>
      </w:divBdr>
    </w:div>
    <w:div w:id="1200358879">
      <w:bodyDiv w:val="1"/>
      <w:marLeft w:val="0"/>
      <w:marRight w:val="0"/>
      <w:marTop w:val="0"/>
      <w:marBottom w:val="0"/>
      <w:divBdr>
        <w:top w:val="none" w:sz="0" w:space="0" w:color="auto"/>
        <w:left w:val="none" w:sz="0" w:space="0" w:color="auto"/>
        <w:bottom w:val="none" w:sz="0" w:space="0" w:color="auto"/>
        <w:right w:val="none" w:sz="0" w:space="0" w:color="auto"/>
      </w:divBdr>
    </w:div>
    <w:div w:id="1202010208">
      <w:bodyDiv w:val="1"/>
      <w:marLeft w:val="0"/>
      <w:marRight w:val="0"/>
      <w:marTop w:val="0"/>
      <w:marBottom w:val="0"/>
      <w:divBdr>
        <w:top w:val="none" w:sz="0" w:space="0" w:color="auto"/>
        <w:left w:val="none" w:sz="0" w:space="0" w:color="auto"/>
        <w:bottom w:val="none" w:sz="0" w:space="0" w:color="auto"/>
        <w:right w:val="none" w:sz="0" w:space="0" w:color="auto"/>
      </w:divBdr>
    </w:div>
    <w:div w:id="1208184859">
      <w:bodyDiv w:val="1"/>
      <w:marLeft w:val="0"/>
      <w:marRight w:val="0"/>
      <w:marTop w:val="0"/>
      <w:marBottom w:val="0"/>
      <w:divBdr>
        <w:top w:val="none" w:sz="0" w:space="0" w:color="auto"/>
        <w:left w:val="none" w:sz="0" w:space="0" w:color="auto"/>
        <w:bottom w:val="none" w:sz="0" w:space="0" w:color="auto"/>
        <w:right w:val="none" w:sz="0" w:space="0" w:color="auto"/>
      </w:divBdr>
    </w:div>
    <w:div w:id="1209301672">
      <w:bodyDiv w:val="1"/>
      <w:marLeft w:val="0"/>
      <w:marRight w:val="0"/>
      <w:marTop w:val="0"/>
      <w:marBottom w:val="0"/>
      <w:divBdr>
        <w:top w:val="none" w:sz="0" w:space="0" w:color="auto"/>
        <w:left w:val="none" w:sz="0" w:space="0" w:color="auto"/>
        <w:bottom w:val="none" w:sz="0" w:space="0" w:color="auto"/>
        <w:right w:val="none" w:sz="0" w:space="0" w:color="auto"/>
      </w:divBdr>
    </w:div>
    <w:div w:id="1223978630">
      <w:bodyDiv w:val="1"/>
      <w:marLeft w:val="0"/>
      <w:marRight w:val="0"/>
      <w:marTop w:val="0"/>
      <w:marBottom w:val="0"/>
      <w:divBdr>
        <w:top w:val="none" w:sz="0" w:space="0" w:color="auto"/>
        <w:left w:val="none" w:sz="0" w:space="0" w:color="auto"/>
        <w:bottom w:val="none" w:sz="0" w:space="0" w:color="auto"/>
        <w:right w:val="none" w:sz="0" w:space="0" w:color="auto"/>
      </w:divBdr>
    </w:div>
    <w:div w:id="1226719874">
      <w:bodyDiv w:val="1"/>
      <w:marLeft w:val="0"/>
      <w:marRight w:val="0"/>
      <w:marTop w:val="0"/>
      <w:marBottom w:val="0"/>
      <w:divBdr>
        <w:top w:val="none" w:sz="0" w:space="0" w:color="auto"/>
        <w:left w:val="none" w:sz="0" w:space="0" w:color="auto"/>
        <w:bottom w:val="none" w:sz="0" w:space="0" w:color="auto"/>
        <w:right w:val="none" w:sz="0" w:space="0" w:color="auto"/>
      </w:divBdr>
    </w:div>
    <w:div w:id="1240169832">
      <w:bodyDiv w:val="1"/>
      <w:marLeft w:val="0"/>
      <w:marRight w:val="0"/>
      <w:marTop w:val="0"/>
      <w:marBottom w:val="0"/>
      <w:divBdr>
        <w:top w:val="none" w:sz="0" w:space="0" w:color="auto"/>
        <w:left w:val="none" w:sz="0" w:space="0" w:color="auto"/>
        <w:bottom w:val="none" w:sz="0" w:space="0" w:color="auto"/>
        <w:right w:val="none" w:sz="0" w:space="0" w:color="auto"/>
      </w:divBdr>
    </w:div>
    <w:div w:id="1248268532">
      <w:bodyDiv w:val="1"/>
      <w:marLeft w:val="0"/>
      <w:marRight w:val="0"/>
      <w:marTop w:val="0"/>
      <w:marBottom w:val="0"/>
      <w:divBdr>
        <w:top w:val="none" w:sz="0" w:space="0" w:color="auto"/>
        <w:left w:val="none" w:sz="0" w:space="0" w:color="auto"/>
        <w:bottom w:val="none" w:sz="0" w:space="0" w:color="auto"/>
        <w:right w:val="none" w:sz="0" w:space="0" w:color="auto"/>
      </w:divBdr>
    </w:div>
    <w:div w:id="1253856710">
      <w:bodyDiv w:val="1"/>
      <w:marLeft w:val="0"/>
      <w:marRight w:val="0"/>
      <w:marTop w:val="0"/>
      <w:marBottom w:val="0"/>
      <w:divBdr>
        <w:top w:val="none" w:sz="0" w:space="0" w:color="auto"/>
        <w:left w:val="none" w:sz="0" w:space="0" w:color="auto"/>
        <w:bottom w:val="none" w:sz="0" w:space="0" w:color="auto"/>
        <w:right w:val="none" w:sz="0" w:space="0" w:color="auto"/>
      </w:divBdr>
    </w:div>
    <w:div w:id="1256282052">
      <w:bodyDiv w:val="1"/>
      <w:marLeft w:val="0"/>
      <w:marRight w:val="0"/>
      <w:marTop w:val="0"/>
      <w:marBottom w:val="0"/>
      <w:divBdr>
        <w:top w:val="none" w:sz="0" w:space="0" w:color="auto"/>
        <w:left w:val="none" w:sz="0" w:space="0" w:color="auto"/>
        <w:bottom w:val="none" w:sz="0" w:space="0" w:color="auto"/>
        <w:right w:val="none" w:sz="0" w:space="0" w:color="auto"/>
      </w:divBdr>
    </w:div>
    <w:div w:id="1261794965">
      <w:bodyDiv w:val="1"/>
      <w:marLeft w:val="0"/>
      <w:marRight w:val="0"/>
      <w:marTop w:val="0"/>
      <w:marBottom w:val="0"/>
      <w:divBdr>
        <w:top w:val="none" w:sz="0" w:space="0" w:color="auto"/>
        <w:left w:val="none" w:sz="0" w:space="0" w:color="auto"/>
        <w:bottom w:val="none" w:sz="0" w:space="0" w:color="auto"/>
        <w:right w:val="none" w:sz="0" w:space="0" w:color="auto"/>
      </w:divBdr>
    </w:div>
    <w:div w:id="1273782499">
      <w:bodyDiv w:val="1"/>
      <w:marLeft w:val="0"/>
      <w:marRight w:val="0"/>
      <w:marTop w:val="0"/>
      <w:marBottom w:val="0"/>
      <w:divBdr>
        <w:top w:val="none" w:sz="0" w:space="0" w:color="auto"/>
        <w:left w:val="none" w:sz="0" w:space="0" w:color="auto"/>
        <w:bottom w:val="none" w:sz="0" w:space="0" w:color="auto"/>
        <w:right w:val="none" w:sz="0" w:space="0" w:color="auto"/>
      </w:divBdr>
    </w:div>
    <w:div w:id="1277328447">
      <w:bodyDiv w:val="1"/>
      <w:marLeft w:val="0"/>
      <w:marRight w:val="0"/>
      <w:marTop w:val="0"/>
      <w:marBottom w:val="0"/>
      <w:divBdr>
        <w:top w:val="none" w:sz="0" w:space="0" w:color="auto"/>
        <w:left w:val="none" w:sz="0" w:space="0" w:color="auto"/>
        <w:bottom w:val="none" w:sz="0" w:space="0" w:color="auto"/>
        <w:right w:val="none" w:sz="0" w:space="0" w:color="auto"/>
      </w:divBdr>
    </w:div>
    <w:div w:id="1292708137">
      <w:bodyDiv w:val="1"/>
      <w:marLeft w:val="0"/>
      <w:marRight w:val="0"/>
      <w:marTop w:val="0"/>
      <w:marBottom w:val="0"/>
      <w:divBdr>
        <w:top w:val="none" w:sz="0" w:space="0" w:color="auto"/>
        <w:left w:val="none" w:sz="0" w:space="0" w:color="auto"/>
        <w:bottom w:val="none" w:sz="0" w:space="0" w:color="auto"/>
        <w:right w:val="none" w:sz="0" w:space="0" w:color="auto"/>
      </w:divBdr>
    </w:div>
    <w:div w:id="1295596166">
      <w:bodyDiv w:val="1"/>
      <w:marLeft w:val="0"/>
      <w:marRight w:val="0"/>
      <w:marTop w:val="0"/>
      <w:marBottom w:val="0"/>
      <w:divBdr>
        <w:top w:val="none" w:sz="0" w:space="0" w:color="auto"/>
        <w:left w:val="none" w:sz="0" w:space="0" w:color="auto"/>
        <w:bottom w:val="none" w:sz="0" w:space="0" w:color="auto"/>
        <w:right w:val="none" w:sz="0" w:space="0" w:color="auto"/>
      </w:divBdr>
    </w:div>
    <w:div w:id="1299265601">
      <w:bodyDiv w:val="1"/>
      <w:marLeft w:val="0"/>
      <w:marRight w:val="0"/>
      <w:marTop w:val="0"/>
      <w:marBottom w:val="0"/>
      <w:divBdr>
        <w:top w:val="none" w:sz="0" w:space="0" w:color="auto"/>
        <w:left w:val="none" w:sz="0" w:space="0" w:color="auto"/>
        <w:bottom w:val="none" w:sz="0" w:space="0" w:color="auto"/>
        <w:right w:val="none" w:sz="0" w:space="0" w:color="auto"/>
      </w:divBdr>
    </w:div>
    <w:div w:id="1313367206">
      <w:bodyDiv w:val="1"/>
      <w:marLeft w:val="0"/>
      <w:marRight w:val="0"/>
      <w:marTop w:val="0"/>
      <w:marBottom w:val="0"/>
      <w:divBdr>
        <w:top w:val="none" w:sz="0" w:space="0" w:color="auto"/>
        <w:left w:val="none" w:sz="0" w:space="0" w:color="auto"/>
        <w:bottom w:val="none" w:sz="0" w:space="0" w:color="auto"/>
        <w:right w:val="none" w:sz="0" w:space="0" w:color="auto"/>
      </w:divBdr>
    </w:div>
    <w:div w:id="1331710567">
      <w:bodyDiv w:val="1"/>
      <w:marLeft w:val="0"/>
      <w:marRight w:val="0"/>
      <w:marTop w:val="0"/>
      <w:marBottom w:val="0"/>
      <w:divBdr>
        <w:top w:val="none" w:sz="0" w:space="0" w:color="auto"/>
        <w:left w:val="none" w:sz="0" w:space="0" w:color="auto"/>
        <w:bottom w:val="none" w:sz="0" w:space="0" w:color="auto"/>
        <w:right w:val="none" w:sz="0" w:space="0" w:color="auto"/>
      </w:divBdr>
    </w:div>
    <w:div w:id="1335449884">
      <w:bodyDiv w:val="1"/>
      <w:marLeft w:val="0"/>
      <w:marRight w:val="0"/>
      <w:marTop w:val="0"/>
      <w:marBottom w:val="0"/>
      <w:divBdr>
        <w:top w:val="none" w:sz="0" w:space="0" w:color="auto"/>
        <w:left w:val="none" w:sz="0" w:space="0" w:color="auto"/>
        <w:bottom w:val="none" w:sz="0" w:space="0" w:color="auto"/>
        <w:right w:val="none" w:sz="0" w:space="0" w:color="auto"/>
      </w:divBdr>
    </w:div>
    <w:div w:id="1339649708">
      <w:bodyDiv w:val="1"/>
      <w:marLeft w:val="0"/>
      <w:marRight w:val="0"/>
      <w:marTop w:val="0"/>
      <w:marBottom w:val="0"/>
      <w:divBdr>
        <w:top w:val="none" w:sz="0" w:space="0" w:color="auto"/>
        <w:left w:val="none" w:sz="0" w:space="0" w:color="auto"/>
        <w:bottom w:val="none" w:sz="0" w:space="0" w:color="auto"/>
        <w:right w:val="none" w:sz="0" w:space="0" w:color="auto"/>
      </w:divBdr>
    </w:div>
    <w:div w:id="1368409754">
      <w:bodyDiv w:val="1"/>
      <w:marLeft w:val="0"/>
      <w:marRight w:val="0"/>
      <w:marTop w:val="0"/>
      <w:marBottom w:val="0"/>
      <w:divBdr>
        <w:top w:val="none" w:sz="0" w:space="0" w:color="auto"/>
        <w:left w:val="none" w:sz="0" w:space="0" w:color="auto"/>
        <w:bottom w:val="none" w:sz="0" w:space="0" w:color="auto"/>
        <w:right w:val="none" w:sz="0" w:space="0" w:color="auto"/>
      </w:divBdr>
    </w:div>
    <w:div w:id="1394308494">
      <w:bodyDiv w:val="1"/>
      <w:marLeft w:val="0"/>
      <w:marRight w:val="0"/>
      <w:marTop w:val="0"/>
      <w:marBottom w:val="0"/>
      <w:divBdr>
        <w:top w:val="none" w:sz="0" w:space="0" w:color="auto"/>
        <w:left w:val="none" w:sz="0" w:space="0" w:color="auto"/>
        <w:bottom w:val="none" w:sz="0" w:space="0" w:color="auto"/>
        <w:right w:val="none" w:sz="0" w:space="0" w:color="auto"/>
      </w:divBdr>
    </w:div>
    <w:div w:id="1432510689">
      <w:bodyDiv w:val="1"/>
      <w:marLeft w:val="0"/>
      <w:marRight w:val="0"/>
      <w:marTop w:val="0"/>
      <w:marBottom w:val="0"/>
      <w:divBdr>
        <w:top w:val="none" w:sz="0" w:space="0" w:color="auto"/>
        <w:left w:val="none" w:sz="0" w:space="0" w:color="auto"/>
        <w:bottom w:val="none" w:sz="0" w:space="0" w:color="auto"/>
        <w:right w:val="none" w:sz="0" w:space="0" w:color="auto"/>
      </w:divBdr>
    </w:div>
    <w:div w:id="1442069444">
      <w:bodyDiv w:val="1"/>
      <w:marLeft w:val="0"/>
      <w:marRight w:val="0"/>
      <w:marTop w:val="0"/>
      <w:marBottom w:val="0"/>
      <w:divBdr>
        <w:top w:val="none" w:sz="0" w:space="0" w:color="auto"/>
        <w:left w:val="none" w:sz="0" w:space="0" w:color="auto"/>
        <w:bottom w:val="none" w:sz="0" w:space="0" w:color="auto"/>
        <w:right w:val="none" w:sz="0" w:space="0" w:color="auto"/>
      </w:divBdr>
    </w:div>
    <w:div w:id="1445004978">
      <w:bodyDiv w:val="1"/>
      <w:marLeft w:val="0"/>
      <w:marRight w:val="0"/>
      <w:marTop w:val="0"/>
      <w:marBottom w:val="0"/>
      <w:divBdr>
        <w:top w:val="none" w:sz="0" w:space="0" w:color="auto"/>
        <w:left w:val="none" w:sz="0" w:space="0" w:color="auto"/>
        <w:bottom w:val="none" w:sz="0" w:space="0" w:color="auto"/>
        <w:right w:val="none" w:sz="0" w:space="0" w:color="auto"/>
      </w:divBdr>
    </w:div>
    <w:div w:id="1486817176">
      <w:bodyDiv w:val="1"/>
      <w:marLeft w:val="0"/>
      <w:marRight w:val="0"/>
      <w:marTop w:val="0"/>
      <w:marBottom w:val="0"/>
      <w:divBdr>
        <w:top w:val="none" w:sz="0" w:space="0" w:color="auto"/>
        <w:left w:val="none" w:sz="0" w:space="0" w:color="auto"/>
        <w:bottom w:val="none" w:sz="0" w:space="0" w:color="auto"/>
        <w:right w:val="none" w:sz="0" w:space="0" w:color="auto"/>
      </w:divBdr>
    </w:div>
    <w:div w:id="1498034493">
      <w:bodyDiv w:val="1"/>
      <w:marLeft w:val="0"/>
      <w:marRight w:val="0"/>
      <w:marTop w:val="0"/>
      <w:marBottom w:val="0"/>
      <w:divBdr>
        <w:top w:val="none" w:sz="0" w:space="0" w:color="auto"/>
        <w:left w:val="none" w:sz="0" w:space="0" w:color="auto"/>
        <w:bottom w:val="none" w:sz="0" w:space="0" w:color="auto"/>
        <w:right w:val="none" w:sz="0" w:space="0" w:color="auto"/>
      </w:divBdr>
    </w:div>
    <w:div w:id="1514563393">
      <w:bodyDiv w:val="1"/>
      <w:marLeft w:val="0"/>
      <w:marRight w:val="0"/>
      <w:marTop w:val="0"/>
      <w:marBottom w:val="0"/>
      <w:divBdr>
        <w:top w:val="none" w:sz="0" w:space="0" w:color="auto"/>
        <w:left w:val="none" w:sz="0" w:space="0" w:color="auto"/>
        <w:bottom w:val="none" w:sz="0" w:space="0" w:color="auto"/>
        <w:right w:val="none" w:sz="0" w:space="0" w:color="auto"/>
      </w:divBdr>
    </w:div>
    <w:div w:id="1525090127">
      <w:bodyDiv w:val="1"/>
      <w:marLeft w:val="0"/>
      <w:marRight w:val="0"/>
      <w:marTop w:val="0"/>
      <w:marBottom w:val="0"/>
      <w:divBdr>
        <w:top w:val="none" w:sz="0" w:space="0" w:color="auto"/>
        <w:left w:val="none" w:sz="0" w:space="0" w:color="auto"/>
        <w:bottom w:val="none" w:sz="0" w:space="0" w:color="auto"/>
        <w:right w:val="none" w:sz="0" w:space="0" w:color="auto"/>
      </w:divBdr>
    </w:div>
    <w:div w:id="1560289378">
      <w:bodyDiv w:val="1"/>
      <w:marLeft w:val="0"/>
      <w:marRight w:val="0"/>
      <w:marTop w:val="0"/>
      <w:marBottom w:val="0"/>
      <w:divBdr>
        <w:top w:val="none" w:sz="0" w:space="0" w:color="auto"/>
        <w:left w:val="none" w:sz="0" w:space="0" w:color="auto"/>
        <w:bottom w:val="none" w:sz="0" w:space="0" w:color="auto"/>
        <w:right w:val="none" w:sz="0" w:space="0" w:color="auto"/>
      </w:divBdr>
    </w:div>
    <w:div w:id="1567911503">
      <w:bodyDiv w:val="1"/>
      <w:marLeft w:val="0"/>
      <w:marRight w:val="0"/>
      <w:marTop w:val="0"/>
      <w:marBottom w:val="0"/>
      <w:divBdr>
        <w:top w:val="none" w:sz="0" w:space="0" w:color="auto"/>
        <w:left w:val="none" w:sz="0" w:space="0" w:color="auto"/>
        <w:bottom w:val="none" w:sz="0" w:space="0" w:color="auto"/>
        <w:right w:val="none" w:sz="0" w:space="0" w:color="auto"/>
      </w:divBdr>
    </w:div>
    <w:div w:id="1571767010">
      <w:bodyDiv w:val="1"/>
      <w:marLeft w:val="0"/>
      <w:marRight w:val="0"/>
      <w:marTop w:val="0"/>
      <w:marBottom w:val="0"/>
      <w:divBdr>
        <w:top w:val="none" w:sz="0" w:space="0" w:color="auto"/>
        <w:left w:val="none" w:sz="0" w:space="0" w:color="auto"/>
        <w:bottom w:val="none" w:sz="0" w:space="0" w:color="auto"/>
        <w:right w:val="none" w:sz="0" w:space="0" w:color="auto"/>
      </w:divBdr>
    </w:div>
    <w:div w:id="1583447715">
      <w:bodyDiv w:val="1"/>
      <w:marLeft w:val="0"/>
      <w:marRight w:val="0"/>
      <w:marTop w:val="0"/>
      <w:marBottom w:val="0"/>
      <w:divBdr>
        <w:top w:val="none" w:sz="0" w:space="0" w:color="auto"/>
        <w:left w:val="none" w:sz="0" w:space="0" w:color="auto"/>
        <w:bottom w:val="none" w:sz="0" w:space="0" w:color="auto"/>
        <w:right w:val="none" w:sz="0" w:space="0" w:color="auto"/>
      </w:divBdr>
    </w:div>
    <w:div w:id="1583877686">
      <w:bodyDiv w:val="1"/>
      <w:marLeft w:val="0"/>
      <w:marRight w:val="0"/>
      <w:marTop w:val="0"/>
      <w:marBottom w:val="0"/>
      <w:divBdr>
        <w:top w:val="none" w:sz="0" w:space="0" w:color="auto"/>
        <w:left w:val="none" w:sz="0" w:space="0" w:color="auto"/>
        <w:bottom w:val="none" w:sz="0" w:space="0" w:color="auto"/>
        <w:right w:val="none" w:sz="0" w:space="0" w:color="auto"/>
      </w:divBdr>
    </w:div>
    <w:div w:id="1590000030">
      <w:bodyDiv w:val="1"/>
      <w:marLeft w:val="0"/>
      <w:marRight w:val="0"/>
      <w:marTop w:val="0"/>
      <w:marBottom w:val="0"/>
      <w:divBdr>
        <w:top w:val="none" w:sz="0" w:space="0" w:color="auto"/>
        <w:left w:val="none" w:sz="0" w:space="0" w:color="auto"/>
        <w:bottom w:val="none" w:sz="0" w:space="0" w:color="auto"/>
        <w:right w:val="none" w:sz="0" w:space="0" w:color="auto"/>
      </w:divBdr>
    </w:div>
    <w:div w:id="1596665386">
      <w:bodyDiv w:val="1"/>
      <w:marLeft w:val="0"/>
      <w:marRight w:val="0"/>
      <w:marTop w:val="0"/>
      <w:marBottom w:val="0"/>
      <w:divBdr>
        <w:top w:val="none" w:sz="0" w:space="0" w:color="auto"/>
        <w:left w:val="none" w:sz="0" w:space="0" w:color="auto"/>
        <w:bottom w:val="none" w:sz="0" w:space="0" w:color="auto"/>
        <w:right w:val="none" w:sz="0" w:space="0" w:color="auto"/>
      </w:divBdr>
    </w:div>
    <w:div w:id="1601790653">
      <w:bodyDiv w:val="1"/>
      <w:marLeft w:val="0"/>
      <w:marRight w:val="0"/>
      <w:marTop w:val="0"/>
      <w:marBottom w:val="0"/>
      <w:divBdr>
        <w:top w:val="none" w:sz="0" w:space="0" w:color="auto"/>
        <w:left w:val="none" w:sz="0" w:space="0" w:color="auto"/>
        <w:bottom w:val="none" w:sz="0" w:space="0" w:color="auto"/>
        <w:right w:val="none" w:sz="0" w:space="0" w:color="auto"/>
      </w:divBdr>
    </w:div>
    <w:div w:id="1615550376">
      <w:bodyDiv w:val="1"/>
      <w:marLeft w:val="0"/>
      <w:marRight w:val="0"/>
      <w:marTop w:val="0"/>
      <w:marBottom w:val="0"/>
      <w:divBdr>
        <w:top w:val="none" w:sz="0" w:space="0" w:color="auto"/>
        <w:left w:val="none" w:sz="0" w:space="0" w:color="auto"/>
        <w:bottom w:val="none" w:sz="0" w:space="0" w:color="auto"/>
        <w:right w:val="none" w:sz="0" w:space="0" w:color="auto"/>
      </w:divBdr>
    </w:div>
    <w:div w:id="1623806233">
      <w:bodyDiv w:val="1"/>
      <w:marLeft w:val="0"/>
      <w:marRight w:val="0"/>
      <w:marTop w:val="0"/>
      <w:marBottom w:val="0"/>
      <w:divBdr>
        <w:top w:val="none" w:sz="0" w:space="0" w:color="auto"/>
        <w:left w:val="none" w:sz="0" w:space="0" w:color="auto"/>
        <w:bottom w:val="none" w:sz="0" w:space="0" w:color="auto"/>
        <w:right w:val="none" w:sz="0" w:space="0" w:color="auto"/>
      </w:divBdr>
    </w:div>
    <w:div w:id="1633558255">
      <w:bodyDiv w:val="1"/>
      <w:marLeft w:val="0"/>
      <w:marRight w:val="0"/>
      <w:marTop w:val="0"/>
      <w:marBottom w:val="0"/>
      <w:divBdr>
        <w:top w:val="none" w:sz="0" w:space="0" w:color="auto"/>
        <w:left w:val="none" w:sz="0" w:space="0" w:color="auto"/>
        <w:bottom w:val="none" w:sz="0" w:space="0" w:color="auto"/>
        <w:right w:val="none" w:sz="0" w:space="0" w:color="auto"/>
      </w:divBdr>
    </w:div>
    <w:div w:id="1636257084">
      <w:bodyDiv w:val="1"/>
      <w:marLeft w:val="0"/>
      <w:marRight w:val="0"/>
      <w:marTop w:val="0"/>
      <w:marBottom w:val="0"/>
      <w:divBdr>
        <w:top w:val="none" w:sz="0" w:space="0" w:color="auto"/>
        <w:left w:val="none" w:sz="0" w:space="0" w:color="auto"/>
        <w:bottom w:val="none" w:sz="0" w:space="0" w:color="auto"/>
        <w:right w:val="none" w:sz="0" w:space="0" w:color="auto"/>
      </w:divBdr>
    </w:div>
    <w:div w:id="1636787791">
      <w:bodyDiv w:val="1"/>
      <w:marLeft w:val="0"/>
      <w:marRight w:val="0"/>
      <w:marTop w:val="0"/>
      <w:marBottom w:val="0"/>
      <w:divBdr>
        <w:top w:val="none" w:sz="0" w:space="0" w:color="auto"/>
        <w:left w:val="none" w:sz="0" w:space="0" w:color="auto"/>
        <w:bottom w:val="none" w:sz="0" w:space="0" w:color="auto"/>
        <w:right w:val="none" w:sz="0" w:space="0" w:color="auto"/>
      </w:divBdr>
    </w:div>
    <w:div w:id="1646817969">
      <w:bodyDiv w:val="1"/>
      <w:marLeft w:val="0"/>
      <w:marRight w:val="0"/>
      <w:marTop w:val="0"/>
      <w:marBottom w:val="0"/>
      <w:divBdr>
        <w:top w:val="none" w:sz="0" w:space="0" w:color="auto"/>
        <w:left w:val="none" w:sz="0" w:space="0" w:color="auto"/>
        <w:bottom w:val="none" w:sz="0" w:space="0" w:color="auto"/>
        <w:right w:val="none" w:sz="0" w:space="0" w:color="auto"/>
      </w:divBdr>
    </w:div>
    <w:div w:id="1674448676">
      <w:bodyDiv w:val="1"/>
      <w:marLeft w:val="0"/>
      <w:marRight w:val="0"/>
      <w:marTop w:val="0"/>
      <w:marBottom w:val="0"/>
      <w:divBdr>
        <w:top w:val="none" w:sz="0" w:space="0" w:color="auto"/>
        <w:left w:val="none" w:sz="0" w:space="0" w:color="auto"/>
        <w:bottom w:val="none" w:sz="0" w:space="0" w:color="auto"/>
        <w:right w:val="none" w:sz="0" w:space="0" w:color="auto"/>
      </w:divBdr>
    </w:div>
    <w:div w:id="1682120303">
      <w:bodyDiv w:val="1"/>
      <w:marLeft w:val="0"/>
      <w:marRight w:val="0"/>
      <w:marTop w:val="0"/>
      <w:marBottom w:val="0"/>
      <w:divBdr>
        <w:top w:val="none" w:sz="0" w:space="0" w:color="auto"/>
        <w:left w:val="none" w:sz="0" w:space="0" w:color="auto"/>
        <w:bottom w:val="none" w:sz="0" w:space="0" w:color="auto"/>
        <w:right w:val="none" w:sz="0" w:space="0" w:color="auto"/>
      </w:divBdr>
    </w:div>
    <w:div w:id="1685204379">
      <w:bodyDiv w:val="1"/>
      <w:marLeft w:val="0"/>
      <w:marRight w:val="0"/>
      <w:marTop w:val="0"/>
      <w:marBottom w:val="0"/>
      <w:divBdr>
        <w:top w:val="none" w:sz="0" w:space="0" w:color="auto"/>
        <w:left w:val="none" w:sz="0" w:space="0" w:color="auto"/>
        <w:bottom w:val="none" w:sz="0" w:space="0" w:color="auto"/>
        <w:right w:val="none" w:sz="0" w:space="0" w:color="auto"/>
      </w:divBdr>
    </w:div>
    <w:div w:id="1715352306">
      <w:bodyDiv w:val="1"/>
      <w:marLeft w:val="0"/>
      <w:marRight w:val="0"/>
      <w:marTop w:val="0"/>
      <w:marBottom w:val="0"/>
      <w:divBdr>
        <w:top w:val="none" w:sz="0" w:space="0" w:color="auto"/>
        <w:left w:val="none" w:sz="0" w:space="0" w:color="auto"/>
        <w:bottom w:val="none" w:sz="0" w:space="0" w:color="auto"/>
        <w:right w:val="none" w:sz="0" w:space="0" w:color="auto"/>
      </w:divBdr>
    </w:div>
    <w:div w:id="1717462438">
      <w:bodyDiv w:val="1"/>
      <w:marLeft w:val="0"/>
      <w:marRight w:val="0"/>
      <w:marTop w:val="0"/>
      <w:marBottom w:val="0"/>
      <w:divBdr>
        <w:top w:val="none" w:sz="0" w:space="0" w:color="auto"/>
        <w:left w:val="none" w:sz="0" w:space="0" w:color="auto"/>
        <w:bottom w:val="none" w:sz="0" w:space="0" w:color="auto"/>
        <w:right w:val="none" w:sz="0" w:space="0" w:color="auto"/>
      </w:divBdr>
    </w:div>
    <w:div w:id="1727601926">
      <w:bodyDiv w:val="1"/>
      <w:marLeft w:val="0"/>
      <w:marRight w:val="0"/>
      <w:marTop w:val="0"/>
      <w:marBottom w:val="0"/>
      <w:divBdr>
        <w:top w:val="none" w:sz="0" w:space="0" w:color="auto"/>
        <w:left w:val="none" w:sz="0" w:space="0" w:color="auto"/>
        <w:bottom w:val="none" w:sz="0" w:space="0" w:color="auto"/>
        <w:right w:val="none" w:sz="0" w:space="0" w:color="auto"/>
      </w:divBdr>
    </w:div>
    <w:div w:id="1729842995">
      <w:bodyDiv w:val="1"/>
      <w:marLeft w:val="0"/>
      <w:marRight w:val="0"/>
      <w:marTop w:val="0"/>
      <w:marBottom w:val="0"/>
      <w:divBdr>
        <w:top w:val="none" w:sz="0" w:space="0" w:color="auto"/>
        <w:left w:val="none" w:sz="0" w:space="0" w:color="auto"/>
        <w:bottom w:val="none" w:sz="0" w:space="0" w:color="auto"/>
        <w:right w:val="none" w:sz="0" w:space="0" w:color="auto"/>
      </w:divBdr>
    </w:div>
    <w:div w:id="1730955684">
      <w:bodyDiv w:val="1"/>
      <w:marLeft w:val="0"/>
      <w:marRight w:val="0"/>
      <w:marTop w:val="0"/>
      <w:marBottom w:val="0"/>
      <w:divBdr>
        <w:top w:val="none" w:sz="0" w:space="0" w:color="auto"/>
        <w:left w:val="none" w:sz="0" w:space="0" w:color="auto"/>
        <w:bottom w:val="none" w:sz="0" w:space="0" w:color="auto"/>
        <w:right w:val="none" w:sz="0" w:space="0" w:color="auto"/>
      </w:divBdr>
    </w:div>
    <w:div w:id="1794057144">
      <w:bodyDiv w:val="1"/>
      <w:marLeft w:val="0"/>
      <w:marRight w:val="0"/>
      <w:marTop w:val="0"/>
      <w:marBottom w:val="0"/>
      <w:divBdr>
        <w:top w:val="none" w:sz="0" w:space="0" w:color="auto"/>
        <w:left w:val="none" w:sz="0" w:space="0" w:color="auto"/>
        <w:bottom w:val="none" w:sz="0" w:space="0" w:color="auto"/>
        <w:right w:val="none" w:sz="0" w:space="0" w:color="auto"/>
      </w:divBdr>
    </w:div>
    <w:div w:id="1797019505">
      <w:bodyDiv w:val="1"/>
      <w:marLeft w:val="0"/>
      <w:marRight w:val="0"/>
      <w:marTop w:val="0"/>
      <w:marBottom w:val="0"/>
      <w:divBdr>
        <w:top w:val="none" w:sz="0" w:space="0" w:color="auto"/>
        <w:left w:val="none" w:sz="0" w:space="0" w:color="auto"/>
        <w:bottom w:val="none" w:sz="0" w:space="0" w:color="auto"/>
        <w:right w:val="none" w:sz="0" w:space="0" w:color="auto"/>
      </w:divBdr>
    </w:div>
    <w:div w:id="1805269323">
      <w:bodyDiv w:val="1"/>
      <w:marLeft w:val="0"/>
      <w:marRight w:val="0"/>
      <w:marTop w:val="0"/>
      <w:marBottom w:val="0"/>
      <w:divBdr>
        <w:top w:val="none" w:sz="0" w:space="0" w:color="auto"/>
        <w:left w:val="none" w:sz="0" w:space="0" w:color="auto"/>
        <w:bottom w:val="none" w:sz="0" w:space="0" w:color="auto"/>
        <w:right w:val="none" w:sz="0" w:space="0" w:color="auto"/>
      </w:divBdr>
    </w:div>
    <w:div w:id="1812482618">
      <w:bodyDiv w:val="1"/>
      <w:marLeft w:val="0"/>
      <w:marRight w:val="0"/>
      <w:marTop w:val="0"/>
      <w:marBottom w:val="0"/>
      <w:divBdr>
        <w:top w:val="none" w:sz="0" w:space="0" w:color="auto"/>
        <w:left w:val="none" w:sz="0" w:space="0" w:color="auto"/>
        <w:bottom w:val="none" w:sz="0" w:space="0" w:color="auto"/>
        <w:right w:val="none" w:sz="0" w:space="0" w:color="auto"/>
      </w:divBdr>
    </w:div>
    <w:div w:id="1818758619">
      <w:bodyDiv w:val="1"/>
      <w:marLeft w:val="0"/>
      <w:marRight w:val="0"/>
      <w:marTop w:val="0"/>
      <w:marBottom w:val="0"/>
      <w:divBdr>
        <w:top w:val="none" w:sz="0" w:space="0" w:color="auto"/>
        <w:left w:val="none" w:sz="0" w:space="0" w:color="auto"/>
        <w:bottom w:val="none" w:sz="0" w:space="0" w:color="auto"/>
        <w:right w:val="none" w:sz="0" w:space="0" w:color="auto"/>
      </w:divBdr>
    </w:div>
    <w:div w:id="1824077330">
      <w:bodyDiv w:val="1"/>
      <w:marLeft w:val="0"/>
      <w:marRight w:val="0"/>
      <w:marTop w:val="0"/>
      <w:marBottom w:val="0"/>
      <w:divBdr>
        <w:top w:val="none" w:sz="0" w:space="0" w:color="auto"/>
        <w:left w:val="none" w:sz="0" w:space="0" w:color="auto"/>
        <w:bottom w:val="none" w:sz="0" w:space="0" w:color="auto"/>
        <w:right w:val="none" w:sz="0" w:space="0" w:color="auto"/>
      </w:divBdr>
    </w:div>
    <w:div w:id="1830779691">
      <w:bodyDiv w:val="1"/>
      <w:marLeft w:val="0"/>
      <w:marRight w:val="0"/>
      <w:marTop w:val="0"/>
      <w:marBottom w:val="0"/>
      <w:divBdr>
        <w:top w:val="none" w:sz="0" w:space="0" w:color="auto"/>
        <w:left w:val="none" w:sz="0" w:space="0" w:color="auto"/>
        <w:bottom w:val="none" w:sz="0" w:space="0" w:color="auto"/>
        <w:right w:val="none" w:sz="0" w:space="0" w:color="auto"/>
      </w:divBdr>
    </w:div>
    <w:div w:id="1843203531">
      <w:bodyDiv w:val="1"/>
      <w:marLeft w:val="0"/>
      <w:marRight w:val="0"/>
      <w:marTop w:val="0"/>
      <w:marBottom w:val="0"/>
      <w:divBdr>
        <w:top w:val="none" w:sz="0" w:space="0" w:color="auto"/>
        <w:left w:val="none" w:sz="0" w:space="0" w:color="auto"/>
        <w:bottom w:val="none" w:sz="0" w:space="0" w:color="auto"/>
        <w:right w:val="none" w:sz="0" w:space="0" w:color="auto"/>
      </w:divBdr>
    </w:div>
    <w:div w:id="1856994467">
      <w:bodyDiv w:val="1"/>
      <w:marLeft w:val="0"/>
      <w:marRight w:val="0"/>
      <w:marTop w:val="0"/>
      <w:marBottom w:val="0"/>
      <w:divBdr>
        <w:top w:val="none" w:sz="0" w:space="0" w:color="auto"/>
        <w:left w:val="none" w:sz="0" w:space="0" w:color="auto"/>
        <w:bottom w:val="none" w:sz="0" w:space="0" w:color="auto"/>
        <w:right w:val="none" w:sz="0" w:space="0" w:color="auto"/>
      </w:divBdr>
    </w:div>
    <w:div w:id="1866169385">
      <w:bodyDiv w:val="1"/>
      <w:marLeft w:val="0"/>
      <w:marRight w:val="0"/>
      <w:marTop w:val="0"/>
      <w:marBottom w:val="0"/>
      <w:divBdr>
        <w:top w:val="none" w:sz="0" w:space="0" w:color="auto"/>
        <w:left w:val="none" w:sz="0" w:space="0" w:color="auto"/>
        <w:bottom w:val="none" w:sz="0" w:space="0" w:color="auto"/>
        <w:right w:val="none" w:sz="0" w:space="0" w:color="auto"/>
      </w:divBdr>
    </w:div>
    <w:div w:id="1918005554">
      <w:bodyDiv w:val="1"/>
      <w:marLeft w:val="0"/>
      <w:marRight w:val="0"/>
      <w:marTop w:val="0"/>
      <w:marBottom w:val="0"/>
      <w:divBdr>
        <w:top w:val="none" w:sz="0" w:space="0" w:color="auto"/>
        <w:left w:val="none" w:sz="0" w:space="0" w:color="auto"/>
        <w:bottom w:val="none" w:sz="0" w:space="0" w:color="auto"/>
        <w:right w:val="none" w:sz="0" w:space="0" w:color="auto"/>
      </w:divBdr>
    </w:div>
    <w:div w:id="1922710664">
      <w:bodyDiv w:val="1"/>
      <w:marLeft w:val="0"/>
      <w:marRight w:val="0"/>
      <w:marTop w:val="0"/>
      <w:marBottom w:val="0"/>
      <w:divBdr>
        <w:top w:val="none" w:sz="0" w:space="0" w:color="auto"/>
        <w:left w:val="none" w:sz="0" w:space="0" w:color="auto"/>
        <w:bottom w:val="none" w:sz="0" w:space="0" w:color="auto"/>
        <w:right w:val="none" w:sz="0" w:space="0" w:color="auto"/>
      </w:divBdr>
    </w:div>
    <w:div w:id="1927881411">
      <w:bodyDiv w:val="1"/>
      <w:marLeft w:val="0"/>
      <w:marRight w:val="0"/>
      <w:marTop w:val="0"/>
      <w:marBottom w:val="0"/>
      <w:divBdr>
        <w:top w:val="none" w:sz="0" w:space="0" w:color="auto"/>
        <w:left w:val="none" w:sz="0" w:space="0" w:color="auto"/>
        <w:bottom w:val="none" w:sz="0" w:space="0" w:color="auto"/>
        <w:right w:val="none" w:sz="0" w:space="0" w:color="auto"/>
      </w:divBdr>
    </w:div>
    <w:div w:id="1954439400">
      <w:bodyDiv w:val="1"/>
      <w:marLeft w:val="0"/>
      <w:marRight w:val="0"/>
      <w:marTop w:val="0"/>
      <w:marBottom w:val="0"/>
      <w:divBdr>
        <w:top w:val="none" w:sz="0" w:space="0" w:color="auto"/>
        <w:left w:val="none" w:sz="0" w:space="0" w:color="auto"/>
        <w:bottom w:val="none" w:sz="0" w:space="0" w:color="auto"/>
        <w:right w:val="none" w:sz="0" w:space="0" w:color="auto"/>
      </w:divBdr>
    </w:div>
    <w:div w:id="1958365231">
      <w:bodyDiv w:val="1"/>
      <w:marLeft w:val="0"/>
      <w:marRight w:val="0"/>
      <w:marTop w:val="0"/>
      <w:marBottom w:val="0"/>
      <w:divBdr>
        <w:top w:val="none" w:sz="0" w:space="0" w:color="auto"/>
        <w:left w:val="none" w:sz="0" w:space="0" w:color="auto"/>
        <w:bottom w:val="none" w:sz="0" w:space="0" w:color="auto"/>
        <w:right w:val="none" w:sz="0" w:space="0" w:color="auto"/>
      </w:divBdr>
    </w:div>
    <w:div w:id="1970628827">
      <w:bodyDiv w:val="1"/>
      <w:marLeft w:val="0"/>
      <w:marRight w:val="0"/>
      <w:marTop w:val="0"/>
      <w:marBottom w:val="0"/>
      <w:divBdr>
        <w:top w:val="none" w:sz="0" w:space="0" w:color="auto"/>
        <w:left w:val="none" w:sz="0" w:space="0" w:color="auto"/>
        <w:bottom w:val="none" w:sz="0" w:space="0" w:color="auto"/>
        <w:right w:val="none" w:sz="0" w:space="0" w:color="auto"/>
      </w:divBdr>
    </w:div>
    <w:div w:id="1974215049">
      <w:bodyDiv w:val="1"/>
      <w:marLeft w:val="0"/>
      <w:marRight w:val="0"/>
      <w:marTop w:val="0"/>
      <w:marBottom w:val="0"/>
      <w:divBdr>
        <w:top w:val="none" w:sz="0" w:space="0" w:color="auto"/>
        <w:left w:val="none" w:sz="0" w:space="0" w:color="auto"/>
        <w:bottom w:val="none" w:sz="0" w:space="0" w:color="auto"/>
        <w:right w:val="none" w:sz="0" w:space="0" w:color="auto"/>
      </w:divBdr>
    </w:div>
    <w:div w:id="2012446392">
      <w:bodyDiv w:val="1"/>
      <w:marLeft w:val="0"/>
      <w:marRight w:val="0"/>
      <w:marTop w:val="0"/>
      <w:marBottom w:val="0"/>
      <w:divBdr>
        <w:top w:val="none" w:sz="0" w:space="0" w:color="auto"/>
        <w:left w:val="none" w:sz="0" w:space="0" w:color="auto"/>
        <w:bottom w:val="none" w:sz="0" w:space="0" w:color="auto"/>
        <w:right w:val="none" w:sz="0" w:space="0" w:color="auto"/>
      </w:divBdr>
    </w:div>
    <w:div w:id="2018918567">
      <w:bodyDiv w:val="1"/>
      <w:marLeft w:val="0"/>
      <w:marRight w:val="0"/>
      <w:marTop w:val="0"/>
      <w:marBottom w:val="0"/>
      <w:divBdr>
        <w:top w:val="none" w:sz="0" w:space="0" w:color="auto"/>
        <w:left w:val="none" w:sz="0" w:space="0" w:color="auto"/>
        <w:bottom w:val="none" w:sz="0" w:space="0" w:color="auto"/>
        <w:right w:val="none" w:sz="0" w:space="0" w:color="auto"/>
      </w:divBdr>
    </w:div>
    <w:div w:id="2021464181">
      <w:bodyDiv w:val="1"/>
      <w:marLeft w:val="0"/>
      <w:marRight w:val="0"/>
      <w:marTop w:val="0"/>
      <w:marBottom w:val="0"/>
      <w:divBdr>
        <w:top w:val="none" w:sz="0" w:space="0" w:color="auto"/>
        <w:left w:val="none" w:sz="0" w:space="0" w:color="auto"/>
        <w:bottom w:val="none" w:sz="0" w:space="0" w:color="auto"/>
        <w:right w:val="none" w:sz="0" w:space="0" w:color="auto"/>
      </w:divBdr>
    </w:div>
    <w:div w:id="2053337482">
      <w:bodyDiv w:val="1"/>
      <w:marLeft w:val="0"/>
      <w:marRight w:val="0"/>
      <w:marTop w:val="0"/>
      <w:marBottom w:val="0"/>
      <w:divBdr>
        <w:top w:val="none" w:sz="0" w:space="0" w:color="auto"/>
        <w:left w:val="none" w:sz="0" w:space="0" w:color="auto"/>
        <w:bottom w:val="none" w:sz="0" w:space="0" w:color="auto"/>
        <w:right w:val="none" w:sz="0" w:space="0" w:color="auto"/>
      </w:divBdr>
    </w:div>
    <w:div w:id="2055544603">
      <w:bodyDiv w:val="1"/>
      <w:marLeft w:val="0"/>
      <w:marRight w:val="0"/>
      <w:marTop w:val="0"/>
      <w:marBottom w:val="0"/>
      <w:divBdr>
        <w:top w:val="none" w:sz="0" w:space="0" w:color="auto"/>
        <w:left w:val="none" w:sz="0" w:space="0" w:color="auto"/>
        <w:bottom w:val="none" w:sz="0" w:space="0" w:color="auto"/>
        <w:right w:val="none" w:sz="0" w:space="0" w:color="auto"/>
      </w:divBdr>
    </w:div>
    <w:div w:id="2062513632">
      <w:bodyDiv w:val="1"/>
      <w:marLeft w:val="0"/>
      <w:marRight w:val="0"/>
      <w:marTop w:val="0"/>
      <w:marBottom w:val="0"/>
      <w:divBdr>
        <w:top w:val="none" w:sz="0" w:space="0" w:color="auto"/>
        <w:left w:val="none" w:sz="0" w:space="0" w:color="auto"/>
        <w:bottom w:val="none" w:sz="0" w:space="0" w:color="auto"/>
        <w:right w:val="none" w:sz="0" w:space="0" w:color="auto"/>
      </w:divBdr>
    </w:div>
    <w:div w:id="2072144731">
      <w:bodyDiv w:val="1"/>
      <w:marLeft w:val="0"/>
      <w:marRight w:val="0"/>
      <w:marTop w:val="0"/>
      <w:marBottom w:val="0"/>
      <w:divBdr>
        <w:top w:val="none" w:sz="0" w:space="0" w:color="auto"/>
        <w:left w:val="none" w:sz="0" w:space="0" w:color="auto"/>
        <w:bottom w:val="none" w:sz="0" w:space="0" w:color="auto"/>
        <w:right w:val="none" w:sz="0" w:space="0" w:color="auto"/>
      </w:divBdr>
    </w:div>
    <w:div w:id="2079277321">
      <w:bodyDiv w:val="1"/>
      <w:marLeft w:val="0"/>
      <w:marRight w:val="0"/>
      <w:marTop w:val="0"/>
      <w:marBottom w:val="0"/>
      <w:divBdr>
        <w:top w:val="none" w:sz="0" w:space="0" w:color="auto"/>
        <w:left w:val="none" w:sz="0" w:space="0" w:color="auto"/>
        <w:bottom w:val="none" w:sz="0" w:space="0" w:color="auto"/>
        <w:right w:val="none" w:sz="0" w:space="0" w:color="auto"/>
      </w:divBdr>
    </w:div>
    <w:div w:id="2093238465">
      <w:bodyDiv w:val="1"/>
      <w:marLeft w:val="0"/>
      <w:marRight w:val="0"/>
      <w:marTop w:val="0"/>
      <w:marBottom w:val="0"/>
      <w:divBdr>
        <w:top w:val="none" w:sz="0" w:space="0" w:color="auto"/>
        <w:left w:val="none" w:sz="0" w:space="0" w:color="auto"/>
        <w:bottom w:val="none" w:sz="0" w:space="0" w:color="auto"/>
        <w:right w:val="none" w:sz="0" w:space="0" w:color="auto"/>
      </w:divBdr>
    </w:div>
    <w:div w:id="2094664613">
      <w:bodyDiv w:val="1"/>
      <w:marLeft w:val="0"/>
      <w:marRight w:val="0"/>
      <w:marTop w:val="0"/>
      <w:marBottom w:val="0"/>
      <w:divBdr>
        <w:top w:val="none" w:sz="0" w:space="0" w:color="auto"/>
        <w:left w:val="none" w:sz="0" w:space="0" w:color="auto"/>
        <w:bottom w:val="none" w:sz="0" w:space="0" w:color="auto"/>
        <w:right w:val="none" w:sz="0" w:space="0" w:color="auto"/>
      </w:divBdr>
    </w:div>
    <w:div w:id="2103837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chart" Target="charts/chart1.xml"/><Relationship Id="rId18" Type="http://schemas.openxmlformats.org/officeDocument/2006/relationships/hyperlink" Target="http://www.ofweek.com/hydrogen/CAT-180825-neiranji.html"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libattery.ofweek.com/KW-tesla.html" TargetMode="External"/><Relationship Id="rId7" Type="http://schemas.openxmlformats.org/officeDocument/2006/relationships/image" Target="media/image1.jpeg"/><Relationship Id="rId12" Type="http://schemas.microsoft.com/office/2007/relationships/diagramDrawing" Target="diagrams/drawing1.xml"/><Relationship Id="rId17" Type="http://schemas.openxmlformats.org/officeDocument/2006/relationships/footer" Target="footer1.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yperlink" Target="http://libattery.ofweek.com/CAT-36010-diandongqiche.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Colors" Target="diagrams/colors1.xml"/><Relationship Id="rId24"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chart" Target="charts/chart3.xml"/><Relationship Id="rId23" Type="http://schemas.openxmlformats.org/officeDocument/2006/relationships/hyperlink" Target="http://libattery.ofweek.com/CAT-36001-lidianchi.html" TargetMode="External"/><Relationship Id="rId10" Type="http://schemas.openxmlformats.org/officeDocument/2006/relationships/diagramQuickStyle" Target="diagrams/quickStyle1.xml"/><Relationship Id="rId19" Type="http://schemas.openxmlformats.org/officeDocument/2006/relationships/hyperlink" Target="http://libattery.ofweek.com/CAT-36010-diandongqiche.html" TargetMode="External"/><Relationship Id="rId4" Type="http://schemas.openxmlformats.org/officeDocument/2006/relationships/webSettings" Target="webSettings.xml"/><Relationship Id="rId9" Type="http://schemas.openxmlformats.org/officeDocument/2006/relationships/diagramLayout" Target="diagrams/layout1.xml"/><Relationship Id="rId14" Type="http://schemas.openxmlformats.org/officeDocument/2006/relationships/chart" Target="charts/chart2.xml"/><Relationship Id="rId22" Type="http://schemas.openxmlformats.org/officeDocument/2006/relationships/hyperlink" Target="http://libattery.ofweek.com/tag-%E5%8A%A8%E5%8A%9B%E9%94%82%E7%94%B5%E6%B1%A0.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1" Type="http://schemas.openxmlformats.org/officeDocument/2006/relationships/oleObject" Target="file:///C:\Users\shumx001\Documents\WeChat%20Files\Eric9969\Files\&#25968;&#25454;&#36164;&#26009;&#20934;&#2279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shumx001\Documents\WeChat%20Files\Eric9969\Files\&#25968;&#25454;&#36164;&#26009;&#20934;&#22791;.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shumx001\Documents\WeChat%20Files\Eric9969\Files\&#25968;&#25454;&#36164;&#26009;&#20934;&#2279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673374328799352E-2"/>
          <c:y val="3.4618938058268496E-2"/>
          <c:w val="0.89023747299897771"/>
          <c:h val="0.55714388482319965"/>
        </c:manualLayout>
      </c:layout>
      <c:barChart>
        <c:barDir val="col"/>
        <c:grouping val="clustered"/>
        <c:varyColors val="0"/>
        <c:ser>
          <c:idx val="0"/>
          <c:order val="0"/>
          <c:tx>
            <c:strRef>
              <c:f>Sheet4!$L$1</c:f>
              <c:strCache>
                <c:ptCount val="1"/>
                <c:pt idx="0">
                  <c:v>12月7日报价
（元/吨）</c:v>
                </c:pt>
              </c:strCache>
            </c:strRef>
          </c:tx>
          <c:invertIfNegative val="0"/>
          <c:cat>
            <c:multiLvlStrRef>
              <c:f>Sheet4!$I$2:$K$10</c:f>
              <c:multiLvlStrCache>
                <c:ptCount val="9"/>
                <c:lvl>
                  <c:pt idx="0">
                    <c:v>四川长和华锂 </c:v>
                  </c:pt>
                  <c:pt idx="1">
                    <c:v>湖南盐湖 </c:v>
                  </c:pt>
                  <c:pt idx="2">
                    <c:v>上海域伦 </c:v>
                  </c:pt>
                  <c:pt idx="3">
                    <c:v>自贡同发荣 </c:v>
                  </c:pt>
                  <c:pt idx="4">
                    <c:v>山西北斗星 </c:v>
                  </c:pt>
                  <c:pt idx="5">
                    <c:v>上海昕狮 </c:v>
                  </c:pt>
                  <c:pt idx="6">
                    <c:v>自贡同发荣 </c:v>
                  </c:pt>
                  <c:pt idx="7">
                    <c:v>山西北斗星 </c:v>
                  </c:pt>
                  <c:pt idx="8">
                    <c:v>江西云锂 </c:v>
                  </c:pt>
                </c:lvl>
                <c:lvl>
                  <c:pt idx="0">
                    <c:v>电池级</c:v>
                  </c:pt>
                  <c:pt idx="1">
                    <c:v>电池级</c:v>
                  </c:pt>
                  <c:pt idx="2">
                    <c:v>电池级</c:v>
                  </c:pt>
                  <c:pt idx="3">
                    <c:v>电池级</c:v>
                  </c:pt>
                  <c:pt idx="4">
                    <c:v>电池级</c:v>
                  </c:pt>
                  <c:pt idx="5">
                    <c:v>工业级</c:v>
                  </c:pt>
                  <c:pt idx="6">
                    <c:v>工业级</c:v>
                  </c:pt>
                  <c:pt idx="7">
                    <c:v>工业级</c:v>
                  </c:pt>
                  <c:pt idx="8">
                    <c:v>工业级</c:v>
                  </c:pt>
                </c:lvl>
                <c:lvl>
                  <c:pt idx="0">
                    <c:v>市场价</c:v>
                  </c:pt>
                  <c:pt idx="1">
                    <c:v>市场价</c:v>
                  </c:pt>
                  <c:pt idx="2">
                    <c:v>出厂价</c:v>
                  </c:pt>
                  <c:pt idx="3">
                    <c:v>出厂价</c:v>
                  </c:pt>
                  <c:pt idx="4">
                    <c:v>出厂价</c:v>
                  </c:pt>
                  <c:pt idx="5">
                    <c:v>市场价</c:v>
                  </c:pt>
                  <c:pt idx="6">
                    <c:v>出厂价</c:v>
                  </c:pt>
                  <c:pt idx="7">
                    <c:v>出厂价</c:v>
                  </c:pt>
                  <c:pt idx="8">
                    <c:v>出厂价</c:v>
                  </c:pt>
                </c:lvl>
              </c:multiLvlStrCache>
            </c:multiLvlStrRef>
          </c:cat>
          <c:val>
            <c:numRef>
              <c:f>Sheet4!$L$2:$L$10</c:f>
              <c:numCache>
                <c:formatCode>General</c:formatCode>
                <c:ptCount val="9"/>
                <c:pt idx="0">
                  <c:v>85000</c:v>
                </c:pt>
                <c:pt idx="1">
                  <c:v>88000</c:v>
                </c:pt>
                <c:pt idx="2">
                  <c:v>82000</c:v>
                </c:pt>
                <c:pt idx="3">
                  <c:v>84700</c:v>
                </c:pt>
                <c:pt idx="4">
                  <c:v>100000</c:v>
                </c:pt>
                <c:pt idx="5">
                  <c:v>80000</c:v>
                </c:pt>
                <c:pt idx="6">
                  <c:v>74500</c:v>
                </c:pt>
                <c:pt idx="7">
                  <c:v>85000</c:v>
                </c:pt>
                <c:pt idx="8">
                  <c:v>80000</c:v>
                </c:pt>
              </c:numCache>
            </c:numRef>
          </c:val>
          <c:extLst>
            <c:ext xmlns:c16="http://schemas.microsoft.com/office/drawing/2014/chart" uri="{C3380CC4-5D6E-409C-BE32-E72D297353CC}">
              <c16:uniqueId val="{00000000-B62D-45F1-B990-318E64AD46F1}"/>
            </c:ext>
          </c:extLst>
        </c:ser>
        <c:ser>
          <c:idx val="1"/>
          <c:order val="1"/>
          <c:tx>
            <c:strRef>
              <c:f>Sheet4!$M$1</c:f>
              <c:strCache>
                <c:ptCount val="1"/>
                <c:pt idx="0">
                  <c:v>12月14日报价
（元/吨）</c:v>
                </c:pt>
              </c:strCache>
            </c:strRef>
          </c:tx>
          <c:invertIfNegative val="0"/>
          <c:cat>
            <c:multiLvlStrRef>
              <c:f>Sheet4!$I$2:$K$10</c:f>
              <c:multiLvlStrCache>
                <c:ptCount val="9"/>
                <c:lvl>
                  <c:pt idx="0">
                    <c:v>四川长和华锂 </c:v>
                  </c:pt>
                  <c:pt idx="1">
                    <c:v>湖南盐湖 </c:v>
                  </c:pt>
                  <c:pt idx="2">
                    <c:v>上海域伦 </c:v>
                  </c:pt>
                  <c:pt idx="3">
                    <c:v>自贡同发荣 </c:v>
                  </c:pt>
                  <c:pt idx="4">
                    <c:v>山西北斗星 </c:v>
                  </c:pt>
                  <c:pt idx="5">
                    <c:v>上海昕狮 </c:v>
                  </c:pt>
                  <c:pt idx="6">
                    <c:v>自贡同发荣 </c:v>
                  </c:pt>
                  <c:pt idx="7">
                    <c:v>山西北斗星 </c:v>
                  </c:pt>
                  <c:pt idx="8">
                    <c:v>江西云锂 </c:v>
                  </c:pt>
                </c:lvl>
                <c:lvl>
                  <c:pt idx="0">
                    <c:v>电池级</c:v>
                  </c:pt>
                  <c:pt idx="1">
                    <c:v>电池级</c:v>
                  </c:pt>
                  <c:pt idx="2">
                    <c:v>电池级</c:v>
                  </c:pt>
                  <c:pt idx="3">
                    <c:v>电池级</c:v>
                  </c:pt>
                  <c:pt idx="4">
                    <c:v>电池级</c:v>
                  </c:pt>
                  <c:pt idx="5">
                    <c:v>工业级</c:v>
                  </c:pt>
                  <c:pt idx="6">
                    <c:v>工业级</c:v>
                  </c:pt>
                  <c:pt idx="7">
                    <c:v>工业级</c:v>
                  </c:pt>
                  <c:pt idx="8">
                    <c:v>工业级</c:v>
                  </c:pt>
                </c:lvl>
                <c:lvl>
                  <c:pt idx="0">
                    <c:v>市场价</c:v>
                  </c:pt>
                  <c:pt idx="1">
                    <c:v>市场价</c:v>
                  </c:pt>
                  <c:pt idx="2">
                    <c:v>出厂价</c:v>
                  </c:pt>
                  <c:pt idx="3">
                    <c:v>出厂价</c:v>
                  </c:pt>
                  <c:pt idx="4">
                    <c:v>出厂价</c:v>
                  </c:pt>
                  <c:pt idx="5">
                    <c:v>市场价</c:v>
                  </c:pt>
                  <c:pt idx="6">
                    <c:v>出厂价</c:v>
                  </c:pt>
                  <c:pt idx="7">
                    <c:v>出厂价</c:v>
                  </c:pt>
                  <c:pt idx="8">
                    <c:v>出厂价</c:v>
                  </c:pt>
                </c:lvl>
              </c:multiLvlStrCache>
            </c:multiLvlStrRef>
          </c:cat>
          <c:val>
            <c:numRef>
              <c:f>Sheet4!$M$2:$M$10</c:f>
              <c:numCache>
                <c:formatCode>General</c:formatCode>
                <c:ptCount val="9"/>
                <c:pt idx="0">
                  <c:v>85000</c:v>
                </c:pt>
                <c:pt idx="1">
                  <c:v>88000</c:v>
                </c:pt>
                <c:pt idx="2">
                  <c:v>82000</c:v>
                </c:pt>
                <c:pt idx="3">
                  <c:v>84700</c:v>
                </c:pt>
                <c:pt idx="4">
                  <c:v>100000</c:v>
                </c:pt>
                <c:pt idx="5">
                  <c:v>80000</c:v>
                </c:pt>
                <c:pt idx="6">
                  <c:v>74500</c:v>
                </c:pt>
                <c:pt idx="7">
                  <c:v>85000</c:v>
                </c:pt>
                <c:pt idx="8">
                  <c:v>80000</c:v>
                </c:pt>
              </c:numCache>
            </c:numRef>
          </c:val>
          <c:extLst>
            <c:ext xmlns:c16="http://schemas.microsoft.com/office/drawing/2014/chart" uri="{C3380CC4-5D6E-409C-BE32-E72D297353CC}">
              <c16:uniqueId val="{00000001-B62D-45F1-B990-318E64AD46F1}"/>
            </c:ext>
          </c:extLst>
        </c:ser>
        <c:ser>
          <c:idx val="2"/>
          <c:order val="2"/>
          <c:tx>
            <c:strRef>
              <c:f>Sheet4!$N$1</c:f>
              <c:strCache>
                <c:ptCount val="1"/>
                <c:pt idx="0">
                  <c:v>涨跌幅
（元/吨）</c:v>
                </c:pt>
              </c:strCache>
            </c:strRef>
          </c:tx>
          <c:invertIfNegative val="0"/>
          <c:cat>
            <c:multiLvlStrRef>
              <c:f>Sheet4!$I$2:$K$10</c:f>
              <c:multiLvlStrCache>
                <c:ptCount val="9"/>
                <c:lvl>
                  <c:pt idx="0">
                    <c:v>四川长和华锂 </c:v>
                  </c:pt>
                  <c:pt idx="1">
                    <c:v>湖南盐湖 </c:v>
                  </c:pt>
                  <c:pt idx="2">
                    <c:v>上海域伦 </c:v>
                  </c:pt>
                  <c:pt idx="3">
                    <c:v>自贡同发荣 </c:v>
                  </c:pt>
                  <c:pt idx="4">
                    <c:v>山西北斗星 </c:v>
                  </c:pt>
                  <c:pt idx="5">
                    <c:v>上海昕狮 </c:v>
                  </c:pt>
                  <c:pt idx="6">
                    <c:v>自贡同发荣 </c:v>
                  </c:pt>
                  <c:pt idx="7">
                    <c:v>山西北斗星 </c:v>
                  </c:pt>
                  <c:pt idx="8">
                    <c:v>江西云锂 </c:v>
                  </c:pt>
                </c:lvl>
                <c:lvl>
                  <c:pt idx="0">
                    <c:v>电池级</c:v>
                  </c:pt>
                  <c:pt idx="1">
                    <c:v>电池级</c:v>
                  </c:pt>
                  <c:pt idx="2">
                    <c:v>电池级</c:v>
                  </c:pt>
                  <c:pt idx="3">
                    <c:v>电池级</c:v>
                  </c:pt>
                  <c:pt idx="4">
                    <c:v>电池级</c:v>
                  </c:pt>
                  <c:pt idx="5">
                    <c:v>工业级</c:v>
                  </c:pt>
                  <c:pt idx="6">
                    <c:v>工业级</c:v>
                  </c:pt>
                  <c:pt idx="7">
                    <c:v>工业级</c:v>
                  </c:pt>
                  <c:pt idx="8">
                    <c:v>工业级</c:v>
                  </c:pt>
                </c:lvl>
                <c:lvl>
                  <c:pt idx="0">
                    <c:v>市场价</c:v>
                  </c:pt>
                  <c:pt idx="1">
                    <c:v>市场价</c:v>
                  </c:pt>
                  <c:pt idx="2">
                    <c:v>出厂价</c:v>
                  </c:pt>
                  <c:pt idx="3">
                    <c:v>出厂价</c:v>
                  </c:pt>
                  <c:pt idx="4">
                    <c:v>出厂价</c:v>
                  </c:pt>
                  <c:pt idx="5">
                    <c:v>市场价</c:v>
                  </c:pt>
                  <c:pt idx="6">
                    <c:v>出厂价</c:v>
                  </c:pt>
                  <c:pt idx="7">
                    <c:v>出厂价</c:v>
                  </c:pt>
                  <c:pt idx="8">
                    <c:v>出厂价</c:v>
                  </c:pt>
                </c:lvl>
              </c:multiLvlStrCache>
            </c:multiLvlStrRef>
          </c:cat>
          <c:val>
            <c:numRef>
              <c:f>Sheet4!$N$2:$N$10</c:f>
              <c:numCache>
                <c:formatCode>General</c:formatCode>
                <c:ptCount val="9"/>
                <c:pt idx="0">
                  <c:v>0</c:v>
                </c:pt>
                <c:pt idx="1">
                  <c:v>0</c:v>
                </c:pt>
                <c:pt idx="2">
                  <c:v>0</c:v>
                </c:pt>
                <c:pt idx="3">
                  <c:v>0</c:v>
                </c:pt>
                <c:pt idx="4">
                  <c:v>0</c:v>
                </c:pt>
                <c:pt idx="5">
                  <c:v>0</c:v>
                </c:pt>
                <c:pt idx="6">
                  <c:v>0</c:v>
                </c:pt>
                <c:pt idx="7">
                  <c:v>0</c:v>
                </c:pt>
                <c:pt idx="8">
                  <c:v>0</c:v>
                </c:pt>
              </c:numCache>
            </c:numRef>
          </c:val>
          <c:extLst>
            <c:ext xmlns:c16="http://schemas.microsoft.com/office/drawing/2014/chart" uri="{C3380CC4-5D6E-409C-BE32-E72D297353CC}">
              <c16:uniqueId val="{00000002-B62D-45F1-B990-318E64AD46F1}"/>
            </c:ext>
          </c:extLst>
        </c:ser>
        <c:dLbls>
          <c:showLegendKey val="0"/>
          <c:showVal val="0"/>
          <c:showCatName val="0"/>
          <c:showSerName val="0"/>
          <c:showPercent val="0"/>
          <c:showBubbleSize val="0"/>
        </c:dLbls>
        <c:gapWidth val="150"/>
        <c:axId val="94656768"/>
        <c:axId val="94666752"/>
      </c:barChart>
      <c:catAx>
        <c:axId val="94656768"/>
        <c:scaling>
          <c:orientation val="minMax"/>
        </c:scaling>
        <c:delete val="0"/>
        <c:axPos val="b"/>
        <c:numFmt formatCode="General" sourceLinked="0"/>
        <c:majorTickMark val="out"/>
        <c:minorTickMark val="none"/>
        <c:tickLblPos val="nextTo"/>
        <c:crossAx val="94666752"/>
        <c:crosses val="autoZero"/>
        <c:auto val="1"/>
        <c:lblAlgn val="ctr"/>
        <c:lblOffset val="100"/>
        <c:noMultiLvlLbl val="0"/>
      </c:catAx>
      <c:valAx>
        <c:axId val="94666752"/>
        <c:scaling>
          <c:orientation val="minMax"/>
        </c:scaling>
        <c:delete val="0"/>
        <c:axPos val="l"/>
        <c:majorGridlines/>
        <c:numFmt formatCode="General" sourceLinked="1"/>
        <c:majorTickMark val="out"/>
        <c:minorTickMark val="none"/>
        <c:tickLblPos val="nextTo"/>
        <c:crossAx val="94656768"/>
        <c:crosses val="autoZero"/>
        <c:crossBetween val="between"/>
      </c:valAx>
    </c:plotArea>
    <c:legend>
      <c:legendPos val="b"/>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zh-CN" sz="1200" b="1" i="0" u="none" strike="noStrike" baseline="0">
                <a:effectLst/>
              </a:rPr>
              <a:t>生意社碳酸锂商品指数图</a:t>
            </a:r>
            <a:endParaRPr lang="zh-CN" altLang="en-US" sz="1200"/>
          </a:p>
        </c:rich>
      </c:tx>
      <c:overlay val="0"/>
    </c:title>
    <c:autoTitleDeleted val="0"/>
    <c:plotArea>
      <c:layout/>
      <c:lineChart>
        <c:grouping val="standard"/>
        <c:varyColors val="0"/>
        <c:ser>
          <c:idx val="0"/>
          <c:order val="0"/>
          <c:dLbls>
            <c:dLbl>
              <c:idx val="1"/>
              <c:dLblPos val="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058-404F-A4A7-32F76BEFDDE0}"/>
                </c:ext>
              </c:extLst>
            </c:dLbl>
            <c:dLbl>
              <c:idx val="3"/>
              <c:dLblPos val="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B058-404F-A4A7-32F76BEFDDE0}"/>
                </c:ext>
              </c:extLst>
            </c:dLbl>
            <c:dLbl>
              <c:idx val="5"/>
              <c:dLblPos val="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B058-404F-A4A7-32F76BEFDDE0}"/>
                </c:ext>
              </c:extLst>
            </c:dLbl>
            <c:dLbl>
              <c:idx val="7"/>
              <c:dLblPos val="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B058-404F-A4A7-32F76BEFDDE0}"/>
                </c:ext>
              </c:extLst>
            </c:dLbl>
            <c:dLbl>
              <c:idx val="9"/>
              <c:dLblPos val="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B058-404F-A4A7-32F76BEFDDE0}"/>
                </c:ext>
              </c:extLst>
            </c:dLbl>
            <c:spPr>
              <a:noFill/>
              <a:ln>
                <a:noFill/>
              </a:ln>
              <a:effectLst/>
            </c:spPr>
            <c:dLblPos val="t"/>
            <c:showLegendKey val="0"/>
            <c:showVal val="0"/>
            <c:showCatName val="0"/>
            <c:showSerName val="0"/>
            <c:showPercent val="0"/>
            <c:showBubbleSize val="0"/>
            <c:extLst>
              <c:ext xmlns:c15="http://schemas.microsoft.com/office/drawing/2012/chart" uri="{CE6537A1-D6FC-4f65-9D91-7224C49458BB}">
                <c15:showLeaderLines val="0"/>
              </c:ext>
            </c:extLst>
          </c:dLbls>
          <c:cat>
            <c:numRef>
              <c:f>Sheet5!$C$36:$K$36</c:f>
              <c:numCache>
                <c:formatCode>m"月"d"日"</c:formatCode>
                <c:ptCount val="9"/>
                <c:pt idx="0">
                  <c:v>43379</c:v>
                </c:pt>
                <c:pt idx="1">
                  <c:v>43388</c:v>
                </c:pt>
                <c:pt idx="2">
                  <c:v>43397</c:v>
                </c:pt>
                <c:pt idx="3">
                  <c:v>43406</c:v>
                </c:pt>
                <c:pt idx="4">
                  <c:v>43415</c:v>
                </c:pt>
                <c:pt idx="5">
                  <c:v>43424</c:v>
                </c:pt>
                <c:pt idx="6">
                  <c:v>43433</c:v>
                </c:pt>
                <c:pt idx="7">
                  <c:v>43442</c:v>
                </c:pt>
                <c:pt idx="8">
                  <c:v>43450</c:v>
                </c:pt>
              </c:numCache>
            </c:numRef>
          </c:cat>
          <c:val>
            <c:numRef>
              <c:f>Sheet5!$C$37:$K$37</c:f>
              <c:numCache>
                <c:formatCode>General</c:formatCode>
                <c:ptCount val="9"/>
                <c:pt idx="0">
                  <c:v>197.8</c:v>
                </c:pt>
                <c:pt idx="1">
                  <c:v>197.57</c:v>
                </c:pt>
                <c:pt idx="2">
                  <c:v>196.64</c:v>
                </c:pt>
                <c:pt idx="3">
                  <c:v>195.95</c:v>
                </c:pt>
                <c:pt idx="4">
                  <c:v>195.95</c:v>
                </c:pt>
                <c:pt idx="5">
                  <c:v>195.95</c:v>
                </c:pt>
                <c:pt idx="6">
                  <c:v>196.18</c:v>
                </c:pt>
                <c:pt idx="7">
                  <c:v>190.06</c:v>
                </c:pt>
                <c:pt idx="8">
                  <c:v>190.06</c:v>
                </c:pt>
              </c:numCache>
            </c:numRef>
          </c:val>
          <c:smooth val="0"/>
          <c:extLst>
            <c:ext xmlns:c16="http://schemas.microsoft.com/office/drawing/2014/chart" uri="{C3380CC4-5D6E-409C-BE32-E72D297353CC}">
              <c16:uniqueId val="{00000005-B058-404F-A4A7-32F76BEFDDE0}"/>
            </c:ext>
          </c:extLst>
        </c:ser>
        <c:dLbls>
          <c:showLegendKey val="0"/>
          <c:showVal val="0"/>
          <c:showCatName val="0"/>
          <c:showSerName val="0"/>
          <c:showPercent val="0"/>
          <c:showBubbleSize val="0"/>
        </c:dLbls>
        <c:marker val="1"/>
        <c:smooth val="0"/>
        <c:axId val="94612864"/>
        <c:axId val="94631040"/>
      </c:lineChart>
      <c:dateAx>
        <c:axId val="94612864"/>
        <c:scaling>
          <c:orientation val="minMax"/>
        </c:scaling>
        <c:delete val="0"/>
        <c:axPos val="b"/>
        <c:numFmt formatCode="m&quot;月&quot;d&quot;日&quot;" sourceLinked="1"/>
        <c:majorTickMark val="out"/>
        <c:minorTickMark val="none"/>
        <c:tickLblPos val="nextTo"/>
        <c:txPr>
          <a:bodyPr/>
          <a:lstStyle/>
          <a:p>
            <a:pPr>
              <a:defRPr i="0"/>
            </a:pPr>
            <a:endParaRPr lang="zh-CN"/>
          </a:p>
        </c:txPr>
        <c:crossAx val="94631040"/>
        <c:crosses val="autoZero"/>
        <c:auto val="1"/>
        <c:lblOffset val="100"/>
        <c:baseTimeUnit val="days"/>
      </c:dateAx>
      <c:valAx>
        <c:axId val="94631040"/>
        <c:scaling>
          <c:orientation val="minMax"/>
        </c:scaling>
        <c:delete val="0"/>
        <c:axPos val="l"/>
        <c:majorGridlines/>
        <c:numFmt formatCode="General" sourceLinked="1"/>
        <c:majorTickMark val="out"/>
        <c:minorTickMark val="none"/>
        <c:tickLblPos val="nextTo"/>
        <c:crossAx val="94612864"/>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zh-CN"/>
              <a:t>研究机构评级情况</a:t>
            </a:r>
          </a:p>
        </c:rich>
      </c:tx>
      <c:layout>
        <c:manualLayout>
          <c:xMode val="edge"/>
          <c:yMode val="edge"/>
          <c:x val="0.29216856143535497"/>
          <c:y val="4.8532207446633925E-2"/>
        </c:manualLayout>
      </c:layout>
      <c:overlay val="0"/>
    </c:title>
    <c:autoTitleDeleted val="0"/>
    <c:plotArea>
      <c:layout/>
      <c:pieChart>
        <c:varyColors val="1"/>
        <c:ser>
          <c:idx val="0"/>
          <c:order val="0"/>
          <c:dLbls>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Sheet1!$I$234:$I$236</c:f>
              <c:strCache>
                <c:ptCount val="3"/>
                <c:pt idx="0">
                  <c:v>买入</c:v>
                </c:pt>
                <c:pt idx="1">
                  <c:v>增持</c:v>
                </c:pt>
                <c:pt idx="2">
                  <c:v>中性</c:v>
                </c:pt>
              </c:strCache>
            </c:strRef>
          </c:cat>
          <c:val>
            <c:numRef>
              <c:f>Sheet1!$J$234:$J$236</c:f>
              <c:numCache>
                <c:formatCode>General</c:formatCode>
                <c:ptCount val="3"/>
                <c:pt idx="0">
                  <c:v>4</c:v>
                </c:pt>
                <c:pt idx="1">
                  <c:v>10</c:v>
                </c:pt>
                <c:pt idx="2">
                  <c:v>2</c:v>
                </c:pt>
              </c:numCache>
            </c:numRef>
          </c:val>
          <c:extLst>
            <c:ext xmlns:c16="http://schemas.microsoft.com/office/drawing/2014/chart" uri="{C3380CC4-5D6E-409C-BE32-E72D297353CC}">
              <c16:uniqueId val="{00000000-0247-45D3-8A59-9F893839D156}"/>
            </c:ext>
          </c:extLst>
        </c:ser>
        <c:dLbls>
          <c:showLegendKey val="0"/>
          <c:showVal val="0"/>
          <c:showCatName val="0"/>
          <c:showSerName val="0"/>
          <c:showPercent val="0"/>
          <c:showBubbleSize val="0"/>
          <c:showLeaderLines val="1"/>
        </c:dLbls>
        <c:firstSliceAng val="0"/>
      </c:pieChart>
    </c:plotArea>
    <c:legend>
      <c:legendPos val="t"/>
      <c:overlay val="0"/>
    </c:legend>
    <c:plotVisOnly val="1"/>
    <c:dispBlanksAs val="zero"/>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1">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26C320EB-5352-40AA-A0A9-C13066E1373C}" type="doc">
      <dgm:prSet loTypeId="urn:microsoft.com/office/officeart/2005/8/layout/list1#1" loCatId="list" qsTypeId="urn:microsoft.com/office/officeart/2005/8/quickstyle/simple1#1" qsCatId="simple" csTypeId="urn:microsoft.com/office/officeart/2005/8/colors/accent1_2#1" csCatId="accent1" phldr="0"/>
      <dgm:spPr/>
      <dgm:t>
        <a:bodyPr/>
        <a:lstStyle/>
        <a:p>
          <a:endParaRPr lang="zh-CN" altLang="en-US"/>
        </a:p>
      </dgm:t>
    </dgm:pt>
    <dgm:pt modelId="{773C5012-55F9-436E-B78B-2A38D8AAA0C0}">
      <dgm:prSet phldrT="[文本]" phldr="0" custT="1"/>
      <dgm:spPr/>
      <dgm:t>
        <a:bodyPr vert="horz" wrap="square"/>
        <a:lstStyle/>
        <a:p>
          <a:pPr>
            <a:lnSpc>
              <a:spcPct val="100000"/>
            </a:lnSpc>
            <a:spcBef>
              <a:spcPct val="0"/>
            </a:spcBef>
            <a:spcAft>
              <a:spcPct val="35000"/>
            </a:spcAft>
          </a:pPr>
          <a:r>
            <a:rPr lang="zh-CN" altLang="en-US" sz="1400" b="1">
              <a:solidFill>
                <a:sysClr val="windowText" lastClr="000000"/>
              </a:solidFill>
              <a:latin typeface="黑体" panose="02010609060101010101" charset="-122"/>
              <a:ea typeface="黑体" panose="02010609060101010101" charset="-122"/>
            </a:rPr>
            <a:t>市场回顾</a:t>
          </a:r>
          <a:r>
            <a:rPr lang="en-US" altLang="zh-CN" sz="1400" b="1">
              <a:solidFill>
                <a:sysClr val="windowText" lastClr="000000"/>
              </a:solidFill>
              <a:latin typeface="黑体" panose="02010609060101010101" charset="-122"/>
              <a:ea typeface="黑体" panose="02010609060101010101" charset="-122"/>
            </a:rPr>
            <a:t>-</a:t>
          </a:r>
          <a:r>
            <a:rPr lang="zh-CN" altLang="en-US" sz="1400" b="1">
              <a:solidFill>
                <a:sysClr val="windowText" lastClr="000000"/>
              </a:solidFill>
              <a:latin typeface="黑体" panose="02010609060101010101" charset="-122"/>
              <a:ea typeface="黑体" panose="02010609060101010101" charset="-122"/>
            </a:rPr>
            <a:t>碳酸锂</a:t>
          </a:r>
        </a:p>
      </dgm:t>
    </dgm:pt>
    <dgm:pt modelId="{E1399106-9BE2-43F4-9430-F473CB36780F}" type="parTrans" cxnId="{D00CEFCF-086E-427C-B029-282F2BF87813}">
      <dgm:prSet/>
      <dgm:spPr/>
      <dgm:t>
        <a:bodyPr/>
        <a:lstStyle/>
        <a:p>
          <a:endParaRPr lang="zh-CN" altLang="en-US"/>
        </a:p>
      </dgm:t>
    </dgm:pt>
    <dgm:pt modelId="{507A6FE3-4D55-4ED6-A973-429D64C5DF28}" type="sibTrans" cxnId="{D00CEFCF-086E-427C-B029-282F2BF87813}">
      <dgm:prSet/>
      <dgm:spPr/>
      <dgm:t>
        <a:bodyPr/>
        <a:lstStyle/>
        <a:p>
          <a:endParaRPr lang="zh-CN" altLang="en-US"/>
        </a:p>
      </dgm:t>
    </dgm:pt>
    <dgm:pt modelId="{FD6A31AA-04B1-48F1-94F9-C90FB46D2681}">
      <dgm:prSet phldr="0" custT="1"/>
      <dgm:spPr/>
      <dgm:t>
        <a:bodyPr vert="horz" wrap="square"/>
        <a:lstStyle/>
        <a:p>
          <a:pPr>
            <a:lnSpc>
              <a:spcPct val="100000"/>
            </a:lnSpc>
            <a:spcBef>
              <a:spcPct val="0"/>
            </a:spcBef>
            <a:spcAft>
              <a:spcPct val="15000"/>
            </a:spcAft>
          </a:pPr>
          <a:endParaRPr sz="1400">
            <a:latin typeface="黑体" panose="02010609060101010101" charset="-122"/>
            <a:ea typeface="黑体" panose="02010609060101010101" charset="-122"/>
          </a:endParaRPr>
        </a:p>
      </dgm:t>
    </dgm:pt>
    <dgm:pt modelId="{2A01D781-D3C5-4892-9471-EF3412531663}" type="parTrans" cxnId="{7F912095-EC1F-497C-9C23-724D2386CB50}">
      <dgm:prSet/>
      <dgm:spPr/>
      <dgm:t>
        <a:bodyPr/>
        <a:lstStyle/>
        <a:p>
          <a:endParaRPr lang="zh-CN" altLang="en-US"/>
        </a:p>
      </dgm:t>
    </dgm:pt>
    <dgm:pt modelId="{F5110B3D-B011-4E76-A36B-487A7967EDAF}" type="sibTrans" cxnId="{7F912095-EC1F-497C-9C23-724D2386CB50}">
      <dgm:prSet/>
      <dgm:spPr/>
      <dgm:t>
        <a:bodyPr/>
        <a:lstStyle/>
        <a:p>
          <a:endParaRPr lang="zh-CN" altLang="en-US"/>
        </a:p>
      </dgm:t>
    </dgm:pt>
    <dgm:pt modelId="{CA58FE74-4619-4E47-BA6C-E0CD35AF5AC2}">
      <dgm:prSet phldrT="[文本]" phldr="0" custT="1"/>
      <dgm:spPr/>
      <dgm:t>
        <a:bodyPr vert="horz" wrap="square"/>
        <a:lstStyle/>
        <a:p>
          <a:pPr>
            <a:lnSpc>
              <a:spcPct val="100000"/>
            </a:lnSpc>
            <a:spcBef>
              <a:spcPct val="0"/>
            </a:spcBef>
            <a:spcAft>
              <a:spcPct val="35000"/>
            </a:spcAft>
          </a:pPr>
          <a:r>
            <a:rPr lang="zh-CN" altLang="en-US" sz="1400" b="1">
              <a:solidFill>
                <a:sysClr val="windowText" lastClr="000000"/>
              </a:solidFill>
              <a:latin typeface="黑体" panose="02010609060101010101" charset="-122"/>
              <a:ea typeface="黑体" panose="02010609060101010101" charset="-122"/>
            </a:rPr>
            <a:t>机构分析</a:t>
          </a:r>
        </a:p>
      </dgm:t>
    </dgm:pt>
    <dgm:pt modelId="{EBAD4DA7-135F-4F4E-9475-804E7DC205D2}" type="parTrans" cxnId="{9795DB72-9090-4CAA-B2B4-7F761D455E27}">
      <dgm:prSet/>
      <dgm:spPr/>
      <dgm:t>
        <a:bodyPr/>
        <a:lstStyle/>
        <a:p>
          <a:endParaRPr lang="zh-CN" altLang="en-US"/>
        </a:p>
      </dgm:t>
    </dgm:pt>
    <dgm:pt modelId="{5723A07A-E737-45B0-B84E-97FB4DE86580}" type="sibTrans" cxnId="{9795DB72-9090-4CAA-B2B4-7F761D455E27}">
      <dgm:prSet/>
      <dgm:spPr/>
      <dgm:t>
        <a:bodyPr/>
        <a:lstStyle/>
        <a:p>
          <a:endParaRPr lang="zh-CN" altLang="en-US"/>
        </a:p>
      </dgm:t>
    </dgm:pt>
    <dgm:pt modelId="{FBD753CA-2E3B-40BE-85F4-1DD4BDCEB49C}">
      <dgm:prSet phldr="0" custT="1"/>
      <dgm:spPr/>
      <dgm:t>
        <a:bodyPr vert="horz" wrap="square"/>
        <a:lstStyle/>
        <a:p>
          <a:pPr>
            <a:lnSpc>
              <a:spcPct val="100000"/>
            </a:lnSpc>
            <a:spcBef>
              <a:spcPct val="0"/>
            </a:spcBef>
            <a:spcAft>
              <a:spcPct val="15000"/>
            </a:spcAft>
          </a:pPr>
          <a:endParaRPr sz="1400">
            <a:latin typeface="黑体" panose="02010609060101010101" charset="-122"/>
            <a:ea typeface="黑体" panose="02010609060101010101" charset="-122"/>
          </a:endParaRPr>
        </a:p>
      </dgm:t>
    </dgm:pt>
    <dgm:pt modelId="{ADABAD35-5437-432D-9B49-AF2AF0925E62}" type="parTrans" cxnId="{B817AB0F-9331-4EFF-848E-DAC3E15EEE84}">
      <dgm:prSet/>
      <dgm:spPr/>
      <dgm:t>
        <a:bodyPr/>
        <a:lstStyle/>
        <a:p>
          <a:endParaRPr lang="zh-CN" altLang="en-US"/>
        </a:p>
      </dgm:t>
    </dgm:pt>
    <dgm:pt modelId="{12C8CD0A-2A9C-43ED-8DAF-B0FF299D8B30}" type="sibTrans" cxnId="{B817AB0F-9331-4EFF-848E-DAC3E15EEE84}">
      <dgm:prSet/>
      <dgm:spPr/>
      <dgm:t>
        <a:bodyPr/>
        <a:lstStyle/>
        <a:p>
          <a:endParaRPr lang="zh-CN" altLang="en-US"/>
        </a:p>
      </dgm:t>
    </dgm:pt>
    <dgm:pt modelId="{D3284563-CEAB-43B3-81C4-5F6C081CBB78}">
      <dgm:prSet phldrT="[文本]" phldr="0" custT="1"/>
      <dgm:spPr/>
      <dgm:t>
        <a:bodyPr vert="horz" wrap="square"/>
        <a:lstStyle/>
        <a:p>
          <a:pPr>
            <a:lnSpc>
              <a:spcPct val="100000"/>
            </a:lnSpc>
            <a:spcBef>
              <a:spcPct val="0"/>
            </a:spcBef>
            <a:spcAft>
              <a:spcPct val="35000"/>
            </a:spcAft>
          </a:pPr>
          <a:r>
            <a:rPr lang="zh-CN" altLang="en-US" sz="1400" b="1">
              <a:solidFill>
                <a:sysClr val="windowText" lastClr="000000"/>
              </a:solidFill>
              <a:latin typeface="黑体" panose="02010609060101010101" charset="-122"/>
              <a:ea typeface="黑体" panose="02010609060101010101" charset="-122"/>
            </a:rPr>
            <a:t>行业动态</a:t>
          </a:r>
        </a:p>
      </dgm:t>
    </dgm:pt>
    <dgm:pt modelId="{A2E240DA-ABFA-4A24-BE34-ABE926603D67}" type="parTrans" cxnId="{62983371-212A-4D04-9A4A-2A9D87285C7B}">
      <dgm:prSet/>
      <dgm:spPr/>
      <dgm:t>
        <a:bodyPr/>
        <a:lstStyle/>
        <a:p>
          <a:endParaRPr lang="zh-CN" altLang="en-US"/>
        </a:p>
      </dgm:t>
    </dgm:pt>
    <dgm:pt modelId="{2E43EE94-FE21-4F90-81B3-CED5B1ECC8C9}" type="sibTrans" cxnId="{62983371-212A-4D04-9A4A-2A9D87285C7B}">
      <dgm:prSet/>
      <dgm:spPr/>
      <dgm:t>
        <a:bodyPr/>
        <a:lstStyle/>
        <a:p>
          <a:endParaRPr lang="zh-CN" altLang="en-US"/>
        </a:p>
      </dgm:t>
    </dgm:pt>
    <dgm:pt modelId="{03EE7014-107A-4368-AB3C-D1CB8DB13CAC}">
      <dgm:prSet phldr="0" custT="1"/>
      <dgm:spPr/>
      <dgm:t>
        <a:bodyPr vert="horz" wrap="square"/>
        <a:lstStyle/>
        <a:p>
          <a:pPr>
            <a:lnSpc>
              <a:spcPct val="100000"/>
            </a:lnSpc>
            <a:spcBef>
              <a:spcPct val="0"/>
            </a:spcBef>
            <a:spcAft>
              <a:spcPct val="15000"/>
            </a:spcAft>
          </a:pPr>
          <a:endParaRPr sz="1400">
            <a:latin typeface="黑体" panose="02010609060101010101" charset="-122"/>
            <a:ea typeface="黑体" panose="02010609060101010101" charset="-122"/>
          </a:endParaRPr>
        </a:p>
      </dgm:t>
    </dgm:pt>
    <dgm:pt modelId="{EC26BE58-971F-40A6-AB0E-6350A9EF9938}" type="parTrans" cxnId="{C1AF4873-ED45-410D-8C95-D05692D0D90E}">
      <dgm:prSet/>
      <dgm:spPr/>
      <dgm:t>
        <a:bodyPr/>
        <a:lstStyle/>
        <a:p>
          <a:endParaRPr lang="zh-CN" altLang="en-US"/>
        </a:p>
      </dgm:t>
    </dgm:pt>
    <dgm:pt modelId="{0D49D225-976A-42D0-BAE3-D939FF314E16}" type="sibTrans" cxnId="{C1AF4873-ED45-410D-8C95-D05692D0D90E}">
      <dgm:prSet/>
      <dgm:spPr/>
      <dgm:t>
        <a:bodyPr/>
        <a:lstStyle/>
        <a:p>
          <a:endParaRPr lang="zh-CN" altLang="en-US"/>
        </a:p>
      </dgm:t>
    </dgm:pt>
    <dgm:pt modelId="{B8D4D44E-BC9F-448F-A5D3-5B51BD088753}">
      <dgm:prSet phldr="0" custT="1"/>
      <dgm:spPr/>
      <dgm:t>
        <a:bodyPr vert="horz" wrap="square"/>
        <a:lstStyle/>
        <a:p>
          <a:pPr>
            <a:lnSpc>
              <a:spcPct val="100000"/>
            </a:lnSpc>
            <a:spcBef>
              <a:spcPct val="0"/>
            </a:spcBef>
            <a:spcAft>
              <a:spcPct val="35000"/>
            </a:spcAft>
          </a:pPr>
          <a:r>
            <a:rPr lang="zh-CN" sz="1400" b="1">
              <a:solidFill>
                <a:sysClr val="windowText" lastClr="000000"/>
              </a:solidFill>
              <a:latin typeface="黑体" panose="02010609060101010101" charset="-122"/>
              <a:ea typeface="黑体" panose="02010609060101010101" charset="-122"/>
            </a:rPr>
            <a:t>企业跟踪</a:t>
          </a:r>
        </a:p>
      </dgm:t>
    </dgm:pt>
    <dgm:pt modelId="{7560636A-A392-4D23-8062-A892B35B23D5}" type="parTrans" cxnId="{A17A0FEE-B9E9-425D-8CCC-DFD9DF6031D7}">
      <dgm:prSet/>
      <dgm:spPr/>
      <dgm:t>
        <a:bodyPr/>
        <a:lstStyle/>
        <a:p>
          <a:endParaRPr lang="zh-CN" altLang="en-US"/>
        </a:p>
      </dgm:t>
    </dgm:pt>
    <dgm:pt modelId="{E5C12AC7-F876-43A8-A4A1-B40B9B604FBE}" type="sibTrans" cxnId="{A17A0FEE-B9E9-425D-8CCC-DFD9DF6031D7}">
      <dgm:prSet/>
      <dgm:spPr/>
      <dgm:t>
        <a:bodyPr/>
        <a:lstStyle/>
        <a:p>
          <a:endParaRPr lang="zh-CN" altLang="en-US"/>
        </a:p>
      </dgm:t>
    </dgm:pt>
    <dgm:pt modelId="{4FAD4110-7A5F-477A-B4D5-F48359756EC6}">
      <dgm:prSet phldr="0" custT="1"/>
      <dgm:spPr/>
      <dgm:t>
        <a:bodyPr vert="horz" wrap="square"/>
        <a:lstStyle/>
        <a:p>
          <a:pPr>
            <a:lnSpc>
              <a:spcPct val="100000"/>
            </a:lnSpc>
            <a:spcBef>
              <a:spcPct val="0"/>
            </a:spcBef>
            <a:spcAft>
              <a:spcPct val="15000"/>
            </a:spcAft>
          </a:pPr>
          <a:endParaRPr sz="1400">
            <a:latin typeface="黑体" panose="02010609060101010101" charset="-122"/>
            <a:ea typeface="黑体" panose="02010609060101010101" charset="-122"/>
          </a:endParaRPr>
        </a:p>
      </dgm:t>
    </dgm:pt>
    <dgm:pt modelId="{C38C68F4-5740-4A9B-9D04-61AA27110E39}" type="parTrans" cxnId="{9683B981-AD6E-4A13-B375-D9F8ED490A93}">
      <dgm:prSet/>
      <dgm:spPr/>
      <dgm:t>
        <a:bodyPr/>
        <a:lstStyle/>
        <a:p>
          <a:endParaRPr lang="zh-CN" altLang="en-US"/>
        </a:p>
      </dgm:t>
    </dgm:pt>
    <dgm:pt modelId="{BEE8A0F9-37E9-4A44-A579-200D0F757D98}" type="sibTrans" cxnId="{9683B981-AD6E-4A13-B375-D9F8ED490A93}">
      <dgm:prSet/>
      <dgm:spPr/>
      <dgm:t>
        <a:bodyPr/>
        <a:lstStyle/>
        <a:p>
          <a:endParaRPr lang="zh-CN" altLang="en-US"/>
        </a:p>
      </dgm:t>
    </dgm:pt>
    <dgm:pt modelId="{B78DE65B-B237-465C-975C-E6973AC0947A}">
      <dgm:prSet phldr="0" custT="1"/>
      <dgm:spPr/>
      <dgm:t>
        <a:bodyPr vert="horz" wrap="square"/>
        <a:lstStyle/>
        <a:p>
          <a:pPr>
            <a:lnSpc>
              <a:spcPct val="100000"/>
            </a:lnSpc>
            <a:spcBef>
              <a:spcPct val="0"/>
            </a:spcBef>
            <a:spcAft>
              <a:spcPct val="35000"/>
            </a:spcAft>
          </a:pPr>
          <a:r>
            <a:rPr lang="zh-CN" sz="1400" b="1">
              <a:solidFill>
                <a:sysClr val="windowText" lastClr="000000"/>
              </a:solidFill>
              <a:latin typeface="黑体" panose="02010609060101010101" charset="-122"/>
              <a:ea typeface="黑体" panose="02010609060101010101" charset="-122"/>
            </a:rPr>
            <a:t>高新技术</a:t>
          </a:r>
        </a:p>
      </dgm:t>
    </dgm:pt>
    <dgm:pt modelId="{8EDBC101-B0CE-4D03-B1CD-ECCDB426608F}" type="parTrans" cxnId="{8B476520-F1B7-4E36-B1FD-B36FE2A8BFB0}">
      <dgm:prSet/>
      <dgm:spPr/>
      <dgm:t>
        <a:bodyPr/>
        <a:lstStyle/>
        <a:p>
          <a:endParaRPr lang="zh-CN" altLang="en-US"/>
        </a:p>
      </dgm:t>
    </dgm:pt>
    <dgm:pt modelId="{BA7DC408-B178-40F5-9D3D-51B01B643732}" type="sibTrans" cxnId="{8B476520-F1B7-4E36-B1FD-B36FE2A8BFB0}">
      <dgm:prSet/>
      <dgm:spPr/>
      <dgm:t>
        <a:bodyPr/>
        <a:lstStyle/>
        <a:p>
          <a:endParaRPr lang="zh-CN" altLang="en-US"/>
        </a:p>
      </dgm:t>
    </dgm:pt>
    <dgm:pt modelId="{38231D52-809B-435C-9C32-4FF460B9E2C3}">
      <dgm:prSet phldr="0" custT="1"/>
      <dgm:spPr/>
      <dgm:t>
        <a:bodyPr vert="horz" wrap="square"/>
        <a:lstStyle/>
        <a:p>
          <a:pPr>
            <a:lnSpc>
              <a:spcPct val="100000"/>
            </a:lnSpc>
            <a:spcBef>
              <a:spcPct val="0"/>
            </a:spcBef>
            <a:spcAft>
              <a:spcPct val="15000"/>
            </a:spcAft>
          </a:pPr>
          <a:endParaRPr sz="1400">
            <a:latin typeface="黑体" panose="02010609060101010101" charset="-122"/>
            <a:ea typeface="黑体" panose="02010609060101010101" charset="-122"/>
          </a:endParaRPr>
        </a:p>
      </dgm:t>
    </dgm:pt>
    <dgm:pt modelId="{1575A914-90CD-4CDF-BE25-FBE0F913B617}" type="parTrans" cxnId="{B0A89F62-BD35-47EC-9A05-4248A612166B}">
      <dgm:prSet/>
      <dgm:spPr/>
      <dgm:t>
        <a:bodyPr/>
        <a:lstStyle/>
        <a:p>
          <a:endParaRPr lang="zh-CN" altLang="en-US"/>
        </a:p>
      </dgm:t>
    </dgm:pt>
    <dgm:pt modelId="{89F1E6D9-6D59-4323-AD08-76410949780B}" type="sibTrans" cxnId="{B0A89F62-BD35-47EC-9A05-4248A612166B}">
      <dgm:prSet/>
      <dgm:spPr/>
      <dgm:t>
        <a:bodyPr/>
        <a:lstStyle/>
        <a:p>
          <a:endParaRPr lang="zh-CN" altLang="en-US"/>
        </a:p>
      </dgm:t>
    </dgm:pt>
    <dgm:pt modelId="{E5EECCA3-F875-4B71-92CC-9CCDFB7DBFEF}" type="pres">
      <dgm:prSet presAssocID="{26C320EB-5352-40AA-A0A9-C13066E1373C}" presName="linear" presStyleCnt="0">
        <dgm:presLayoutVars>
          <dgm:dir/>
          <dgm:animLvl val="lvl"/>
          <dgm:resizeHandles val="exact"/>
        </dgm:presLayoutVars>
      </dgm:prSet>
      <dgm:spPr/>
    </dgm:pt>
    <dgm:pt modelId="{667CAF5C-37C0-43B7-8B7E-02CCA3754DB9}" type="pres">
      <dgm:prSet presAssocID="{773C5012-55F9-436E-B78B-2A38D8AAA0C0}" presName="parentLin" presStyleCnt="0"/>
      <dgm:spPr/>
    </dgm:pt>
    <dgm:pt modelId="{58B158CB-C1D2-4676-88E6-6B3937A00A96}" type="pres">
      <dgm:prSet presAssocID="{773C5012-55F9-436E-B78B-2A38D8AAA0C0}" presName="parentLeftMargin" presStyleLbl="node1" presStyleIdx="0" presStyleCnt="5"/>
      <dgm:spPr/>
    </dgm:pt>
    <dgm:pt modelId="{D0971512-D8E1-4E4B-89F4-FF2EB164C196}" type="pres">
      <dgm:prSet presAssocID="{773C5012-55F9-436E-B78B-2A38D8AAA0C0}" presName="parentText" presStyleLbl="node1" presStyleIdx="0" presStyleCnt="5">
        <dgm:presLayoutVars>
          <dgm:chMax val="0"/>
          <dgm:bulletEnabled val="1"/>
        </dgm:presLayoutVars>
      </dgm:prSet>
      <dgm:spPr/>
    </dgm:pt>
    <dgm:pt modelId="{05E10EBB-C85A-471E-9935-B48B9C39A12E}" type="pres">
      <dgm:prSet presAssocID="{773C5012-55F9-436E-B78B-2A38D8AAA0C0}" presName="negativeSpace" presStyleCnt="0"/>
      <dgm:spPr/>
    </dgm:pt>
    <dgm:pt modelId="{1F055725-8984-42CB-98CB-8E7728DD5EAB}" type="pres">
      <dgm:prSet presAssocID="{773C5012-55F9-436E-B78B-2A38D8AAA0C0}" presName="childText" presStyleLbl="conFgAcc1" presStyleIdx="0" presStyleCnt="5">
        <dgm:presLayoutVars>
          <dgm:bulletEnabled val="1"/>
        </dgm:presLayoutVars>
      </dgm:prSet>
      <dgm:spPr/>
    </dgm:pt>
    <dgm:pt modelId="{5785404B-F53E-4CF2-A702-90A46E89CED8}" type="pres">
      <dgm:prSet presAssocID="{507A6FE3-4D55-4ED6-A973-429D64C5DF28}" presName="spaceBetweenRectangles" presStyleCnt="0"/>
      <dgm:spPr/>
    </dgm:pt>
    <dgm:pt modelId="{EF963990-07B7-4DBC-8CFE-C86D15B61BB6}" type="pres">
      <dgm:prSet presAssocID="{CA58FE74-4619-4E47-BA6C-E0CD35AF5AC2}" presName="parentLin" presStyleCnt="0"/>
      <dgm:spPr/>
    </dgm:pt>
    <dgm:pt modelId="{AEA4B341-6C57-43B8-BC42-9813D43D1335}" type="pres">
      <dgm:prSet presAssocID="{CA58FE74-4619-4E47-BA6C-E0CD35AF5AC2}" presName="parentLeftMargin" presStyleLbl="node1" presStyleIdx="0" presStyleCnt="5"/>
      <dgm:spPr/>
    </dgm:pt>
    <dgm:pt modelId="{DD07B078-3354-4F1B-9438-E4F95C4B43A6}" type="pres">
      <dgm:prSet presAssocID="{CA58FE74-4619-4E47-BA6C-E0CD35AF5AC2}" presName="parentText" presStyleLbl="node1" presStyleIdx="1" presStyleCnt="5">
        <dgm:presLayoutVars>
          <dgm:chMax val="0"/>
          <dgm:bulletEnabled val="1"/>
        </dgm:presLayoutVars>
      </dgm:prSet>
      <dgm:spPr/>
    </dgm:pt>
    <dgm:pt modelId="{98F9047E-C8BE-4990-B6F7-84F4581E1FEA}" type="pres">
      <dgm:prSet presAssocID="{CA58FE74-4619-4E47-BA6C-E0CD35AF5AC2}" presName="negativeSpace" presStyleCnt="0"/>
      <dgm:spPr/>
    </dgm:pt>
    <dgm:pt modelId="{FB20FF5F-D131-4A8A-AEBC-01A2B84D6655}" type="pres">
      <dgm:prSet presAssocID="{CA58FE74-4619-4E47-BA6C-E0CD35AF5AC2}" presName="childText" presStyleLbl="conFgAcc1" presStyleIdx="1" presStyleCnt="5">
        <dgm:presLayoutVars>
          <dgm:bulletEnabled val="1"/>
        </dgm:presLayoutVars>
      </dgm:prSet>
      <dgm:spPr/>
    </dgm:pt>
    <dgm:pt modelId="{AC1FEB9E-7ED9-4E44-9D47-B63AE5862158}" type="pres">
      <dgm:prSet presAssocID="{5723A07A-E737-45B0-B84E-97FB4DE86580}" presName="spaceBetweenRectangles" presStyleCnt="0"/>
      <dgm:spPr/>
    </dgm:pt>
    <dgm:pt modelId="{04A221FB-3A34-4804-9E1E-FAA254BEF819}" type="pres">
      <dgm:prSet presAssocID="{D3284563-CEAB-43B3-81C4-5F6C081CBB78}" presName="parentLin" presStyleCnt="0"/>
      <dgm:spPr/>
    </dgm:pt>
    <dgm:pt modelId="{09CBCBA7-E2EE-4654-BCFB-AB2C2D77E66B}" type="pres">
      <dgm:prSet presAssocID="{D3284563-CEAB-43B3-81C4-5F6C081CBB78}" presName="parentLeftMargin" presStyleLbl="node1" presStyleIdx="1" presStyleCnt="5"/>
      <dgm:spPr/>
    </dgm:pt>
    <dgm:pt modelId="{F8B30F84-9FC1-4455-B8FC-CA5DC2189586}" type="pres">
      <dgm:prSet presAssocID="{D3284563-CEAB-43B3-81C4-5F6C081CBB78}" presName="parentText" presStyleLbl="node1" presStyleIdx="2" presStyleCnt="5">
        <dgm:presLayoutVars>
          <dgm:chMax val="0"/>
          <dgm:bulletEnabled val="1"/>
        </dgm:presLayoutVars>
      </dgm:prSet>
      <dgm:spPr/>
    </dgm:pt>
    <dgm:pt modelId="{75AF99AA-34AA-4169-A0AA-91E0CC0C2D15}" type="pres">
      <dgm:prSet presAssocID="{D3284563-CEAB-43B3-81C4-5F6C081CBB78}" presName="negativeSpace" presStyleCnt="0"/>
      <dgm:spPr/>
    </dgm:pt>
    <dgm:pt modelId="{F855875C-E8B4-4273-8C6C-6A8EC3091B3C}" type="pres">
      <dgm:prSet presAssocID="{D3284563-CEAB-43B3-81C4-5F6C081CBB78}" presName="childText" presStyleLbl="conFgAcc1" presStyleIdx="2" presStyleCnt="5">
        <dgm:presLayoutVars>
          <dgm:bulletEnabled val="1"/>
        </dgm:presLayoutVars>
      </dgm:prSet>
      <dgm:spPr/>
    </dgm:pt>
    <dgm:pt modelId="{3F578F12-6738-4880-839A-EAC62E5E4075}" type="pres">
      <dgm:prSet presAssocID="{2E43EE94-FE21-4F90-81B3-CED5B1ECC8C9}" presName="spaceBetweenRectangles" presStyleCnt="0"/>
      <dgm:spPr/>
    </dgm:pt>
    <dgm:pt modelId="{FD06F426-E0E3-4FBF-8143-E6EC65CE5DDC}" type="pres">
      <dgm:prSet presAssocID="{B8D4D44E-BC9F-448F-A5D3-5B51BD088753}" presName="parentLin" presStyleCnt="0"/>
      <dgm:spPr/>
    </dgm:pt>
    <dgm:pt modelId="{7E2622D8-4A99-4F6F-9254-620C3489F41E}" type="pres">
      <dgm:prSet presAssocID="{B8D4D44E-BC9F-448F-A5D3-5B51BD088753}" presName="parentLeftMargin" presStyleLbl="node1" presStyleIdx="2" presStyleCnt="5"/>
      <dgm:spPr/>
    </dgm:pt>
    <dgm:pt modelId="{C588402D-5FAF-4441-8EC0-61F0874C8AA9}" type="pres">
      <dgm:prSet presAssocID="{B8D4D44E-BC9F-448F-A5D3-5B51BD088753}" presName="parentText" presStyleLbl="node1" presStyleIdx="3" presStyleCnt="5">
        <dgm:presLayoutVars>
          <dgm:chMax val="0"/>
          <dgm:bulletEnabled val="1"/>
        </dgm:presLayoutVars>
      </dgm:prSet>
      <dgm:spPr/>
    </dgm:pt>
    <dgm:pt modelId="{43D6F27A-EFC0-4FE7-9CAB-F548D91CB596}" type="pres">
      <dgm:prSet presAssocID="{B8D4D44E-BC9F-448F-A5D3-5B51BD088753}" presName="negativeSpace" presStyleCnt="0"/>
      <dgm:spPr/>
    </dgm:pt>
    <dgm:pt modelId="{FB1B2E71-2E8B-41AA-88D6-61594D13AA75}" type="pres">
      <dgm:prSet presAssocID="{B8D4D44E-BC9F-448F-A5D3-5B51BD088753}" presName="childText" presStyleLbl="conFgAcc1" presStyleIdx="3" presStyleCnt="5">
        <dgm:presLayoutVars>
          <dgm:bulletEnabled val="1"/>
        </dgm:presLayoutVars>
      </dgm:prSet>
      <dgm:spPr/>
    </dgm:pt>
    <dgm:pt modelId="{B6973FF0-B692-4684-BF08-39671014766A}" type="pres">
      <dgm:prSet presAssocID="{E5C12AC7-F876-43A8-A4A1-B40B9B604FBE}" presName="spaceBetweenRectangles" presStyleCnt="0"/>
      <dgm:spPr/>
    </dgm:pt>
    <dgm:pt modelId="{BAA3018F-ADFC-4829-A3AB-7D6E46F70FE6}" type="pres">
      <dgm:prSet presAssocID="{B78DE65B-B237-465C-975C-E6973AC0947A}" presName="parentLin" presStyleCnt="0"/>
      <dgm:spPr/>
    </dgm:pt>
    <dgm:pt modelId="{B9ED34AF-B789-4137-BA3C-725EC0A2D6D6}" type="pres">
      <dgm:prSet presAssocID="{B78DE65B-B237-465C-975C-E6973AC0947A}" presName="parentLeftMargin" presStyleLbl="node1" presStyleIdx="3" presStyleCnt="5"/>
      <dgm:spPr/>
    </dgm:pt>
    <dgm:pt modelId="{662D6512-1D52-49EB-A91F-4D4DAF3F7740}" type="pres">
      <dgm:prSet presAssocID="{B78DE65B-B237-465C-975C-E6973AC0947A}" presName="parentText" presStyleLbl="node1" presStyleIdx="4" presStyleCnt="5">
        <dgm:presLayoutVars>
          <dgm:chMax val="0"/>
          <dgm:bulletEnabled val="1"/>
        </dgm:presLayoutVars>
      </dgm:prSet>
      <dgm:spPr/>
    </dgm:pt>
    <dgm:pt modelId="{07988013-C8CC-4F64-B795-2168E7FF401E}" type="pres">
      <dgm:prSet presAssocID="{B78DE65B-B237-465C-975C-E6973AC0947A}" presName="negativeSpace" presStyleCnt="0"/>
      <dgm:spPr/>
    </dgm:pt>
    <dgm:pt modelId="{7893ACA9-528C-4BE9-AD56-E10B3EC3D72D}" type="pres">
      <dgm:prSet presAssocID="{B78DE65B-B237-465C-975C-E6973AC0947A}" presName="childText" presStyleLbl="conFgAcc1" presStyleIdx="4" presStyleCnt="5">
        <dgm:presLayoutVars>
          <dgm:bulletEnabled val="1"/>
        </dgm:presLayoutVars>
      </dgm:prSet>
      <dgm:spPr/>
    </dgm:pt>
  </dgm:ptLst>
  <dgm:cxnLst>
    <dgm:cxn modelId="{DD61D604-D585-4E39-9F2C-707106EAF44C}" type="presOf" srcId="{773C5012-55F9-436E-B78B-2A38D8AAA0C0}" destId="{D0971512-D8E1-4E4B-89F4-FF2EB164C196}" srcOrd="1" destOrd="0" presId="urn:microsoft.com/office/officeart/2005/8/layout/list1#1"/>
    <dgm:cxn modelId="{A0211B0A-004E-495E-B250-4D2F48A6BC36}" type="presOf" srcId="{CA58FE74-4619-4E47-BA6C-E0CD35AF5AC2}" destId="{DD07B078-3354-4F1B-9438-E4F95C4B43A6}" srcOrd="1" destOrd="0" presId="urn:microsoft.com/office/officeart/2005/8/layout/list1#1"/>
    <dgm:cxn modelId="{B817AB0F-9331-4EFF-848E-DAC3E15EEE84}" srcId="{CA58FE74-4619-4E47-BA6C-E0CD35AF5AC2}" destId="{FBD753CA-2E3B-40BE-85F4-1DD4BDCEB49C}" srcOrd="0" destOrd="0" parTransId="{ADABAD35-5437-432D-9B49-AF2AF0925E62}" sibTransId="{12C8CD0A-2A9C-43ED-8DAF-B0FF299D8B30}"/>
    <dgm:cxn modelId="{E9178F1E-28AE-4DCF-9C8E-5FFEC45D118D}" type="presOf" srcId="{B8D4D44E-BC9F-448F-A5D3-5B51BD088753}" destId="{7E2622D8-4A99-4F6F-9254-620C3489F41E}" srcOrd="0" destOrd="0" presId="urn:microsoft.com/office/officeart/2005/8/layout/list1#1"/>
    <dgm:cxn modelId="{8B476520-F1B7-4E36-B1FD-B36FE2A8BFB0}" srcId="{26C320EB-5352-40AA-A0A9-C13066E1373C}" destId="{B78DE65B-B237-465C-975C-E6973AC0947A}" srcOrd="4" destOrd="0" parTransId="{8EDBC101-B0CE-4D03-B1CD-ECCDB426608F}" sibTransId="{BA7DC408-B178-40F5-9D3D-51B01B643732}"/>
    <dgm:cxn modelId="{D68B0C22-CBFB-430C-8423-1176057640DD}" type="presOf" srcId="{38231D52-809B-435C-9C32-4FF460B9E2C3}" destId="{7893ACA9-528C-4BE9-AD56-E10B3EC3D72D}" srcOrd="0" destOrd="0" presId="urn:microsoft.com/office/officeart/2005/8/layout/list1#1"/>
    <dgm:cxn modelId="{C6329825-9EB5-4D4C-A09C-B745F2BB852E}" type="presOf" srcId="{CA58FE74-4619-4E47-BA6C-E0CD35AF5AC2}" destId="{AEA4B341-6C57-43B8-BC42-9813D43D1335}" srcOrd="0" destOrd="0" presId="urn:microsoft.com/office/officeart/2005/8/layout/list1#1"/>
    <dgm:cxn modelId="{52BE612B-ED5B-4474-9025-3D93866D3135}" type="presOf" srcId="{B78DE65B-B237-465C-975C-E6973AC0947A}" destId="{B9ED34AF-B789-4137-BA3C-725EC0A2D6D6}" srcOrd="0" destOrd="0" presId="urn:microsoft.com/office/officeart/2005/8/layout/list1#1"/>
    <dgm:cxn modelId="{F9F3CC40-4867-4EB7-882E-276B3B9324F7}" type="presOf" srcId="{D3284563-CEAB-43B3-81C4-5F6C081CBB78}" destId="{F8B30F84-9FC1-4455-B8FC-CA5DC2189586}" srcOrd="1" destOrd="0" presId="urn:microsoft.com/office/officeart/2005/8/layout/list1#1"/>
    <dgm:cxn modelId="{B0A89F62-BD35-47EC-9A05-4248A612166B}" srcId="{B78DE65B-B237-465C-975C-E6973AC0947A}" destId="{38231D52-809B-435C-9C32-4FF460B9E2C3}" srcOrd="0" destOrd="0" parTransId="{1575A914-90CD-4CDF-BE25-FBE0F913B617}" sibTransId="{89F1E6D9-6D59-4323-AD08-76410949780B}"/>
    <dgm:cxn modelId="{6E05A245-4561-4444-A3A1-918CB47C3072}" type="presOf" srcId="{03EE7014-107A-4368-AB3C-D1CB8DB13CAC}" destId="{F855875C-E8B4-4273-8C6C-6A8EC3091B3C}" srcOrd="0" destOrd="0" presId="urn:microsoft.com/office/officeart/2005/8/layout/list1#1"/>
    <dgm:cxn modelId="{2024126F-1EE6-435C-95ED-95252F6A55BE}" type="presOf" srcId="{26C320EB-5352-40AA-A0A9-C13066E1373C}" destId="{E5EECCA3-F875-4B71-92CC-9CCDFB7DBFEF}" srcOrd="0" destOrd="0" presId="urn:microsoft.com/office/officeart/2005/8/layout/list1#1"/>
    <dgm:cxn modelId="{62983371-212A-4D04-9A4A-2A9D87285C7B}" srcId="{26C320EB-5352-40AA-A0A9-C13066E1373C}" destId="{D3284563-CEAB-43B3-81C4-5F6C081CBB78}" srcOrd="2" destOrd="0" parTransId="{A2E240DA-ABFA-4A24-BE34-ABE926603D67}" sibTransId="{2E43EE94-FE21-4F90-81B3-CED5B1ECC8C9}"/>
    <dgm:cxn modelId="{9795DB72-9090-4CAA-B2B4-7F761D455E27}" srcId="{26C320EB-5352-40AA-A0A9-C13066E1373C}" destId="{CA58FE74-4619-4E47-BA6C-E0CD35AF5AC2}" srcOrd="1" destOrd="0" parTransId="{EBAD4DA7-135F-4F4E-9475-804E7DC205D2}" sibTransId="{5723A07A-E737-45B0-B84E-97FB4DE86580}"/>
    <dgm:cxn modelId="{C1AF4873-ED45-410D-8C95-D05692D0D90E}" srcId="{D3284563-CEAB-43B3-81C4-5F6C081CBB78}" destId="{03EE7014-107A-4368-AB3C-D1CB8DB13CAC}" srcOrd="0" destOrd="0" parTransId="{EC26BE58-971F-40A6-AB0E-6350A9EF9938}" sibTransId="{0D49D225-976A-42D0-BAE3-D939FF314E16}"/>
    <dgm:cxn modelId="{C3EB1755-71AC-4589-A934-E4A919ABD3AA}" type="presOf" srcId="{FBD753CA-2E3B-40BE-85F4-1DD4BDCEB49C}" destId="{FB20FF5F-D131-4A8A-AEBC-01A2B84D6655}" srcOrd="0" destOrd="0" presId="urn:microsoft.com/office/officeart/2005/8/layout/list1#1"/>
    <dgm:cxn modelId="{A765BA7E-642B-462F-908E-70229ED5A246}" type="presOf" srcId="{B78DE65B-B237-465C-975C-E6973AC0947A}" destId="{662D6512-1D52-49EB-A91F-4D4DAF3F7740}" srcOrd="1" destOrd="0" presId="urn:microsoft.com/office/officeart/2005/8/layout/list1#1"/>
    <dgm:cxn modelId="{9683B981-AD6E-4A13-B375-D9F8ED490A93}" srcId="{B8D4D44E-BC9F-448F-A5D3-5B51BD088753}" destId="{4FAD4110-7A5F-477A-B4D5-F48359756EC6}" srcOrd="0" destOrd="0" parTransId="{C38C68F4-5740-4A9B-9D04-61AA27110E39}" sibTransId="{BEE8A0F9-37E9-4A44-A579-200D0F757D98}"/>
    <dgm:cxn modelId="{7F912095-EC1F-497C-9C23-724D2386CB50}" srcId="{773C5012-55F9-436E-B78B-2A38D8AAA0C0}" destId="{FD6A31AA-04B1-48F1-94F9-C90FB46D2681}" srcOrd="0" destOrd="0" parTransId="{2A01D781-D3C5-4892-9471-EF3412531663}" sibTransId="{F5110B3D-B011-4E76-A36B-487A7967EDAF}"/>
    <dgm:cxn modelId="{9AE7609E-555E-4322-BDF5-6941476C107B}" type="presOf" srcId="{773C5012-55F9-436E-B78B-2A38D8AAA0C0}" destId="{58B158CB-C1D2-4676-88E6-6B3937A00A96}" srcOrd="0" destOrd="0" presId="urn:microsoft.com/office/officeart/2005/8/layout/list1#1"/>
    <dgm:cxn modelId="{5A2A9ECD-FD6E-4833-BF7A-1660B53B2AC8}" type="presOf" srcId="{FD6A31AA-04B1-48F1-94F9-C90FB46D2681}" destId="{1F055725-8984-42CB-98CB-8E7728DD5EAB}" srcOrd="0" destOrd="0" presId="urn:microsoft.com/office/officeart/2005/8/layout/list1#1"/>
    <dgm:cxn modelId="{D00CEFCF-086E-427C-B029-282F2BF87813}" srcId="{26C320EB-5352-40AA-A0A9-C13066E1373C}" destId="{773C5012-55F9-436E-B78B-2A38D8AAA0C0}" srcOrd="0" destOrd="0" parTransId="{E1399106-9BE2-43F4-9430-F473CB36780F}" sibTransId="{507A6FE3-4D55-4ED6-A973-429D64C5DF28}"/>
    <dgm:cxn modelId="{F79FE3D4-90F8-4D99-AB93-8079A9E572D4}" type="presOf" srcId="{4FAD4110-7A5F-477A-B4D5-F48359756EC6}" destId="{FB1B2E71-2E8B-41AA-88D6-61594D13AA75}" srcOrd="0" destOrd="0" presId="urn:microsoft.com/office/officeart/2005/8/layout/list1#1"/>
    <dgm:cxn modelId="{16438FD9-ED2A-48C2-9487-C3B2DBF8FD7C}" type="presOf" srcId="{B8D4D44E-BC9F-448F-A5D3-5B51BD088753}" destId="{C588402D-5FAF-4441-8EC0-61F0874C8AA9}" srcOrd="1" destOrd="0" presId="urn:microsoft.com/office/officeart/2005/8/layout/list1#1"/>
    <dgm:cxn modelId="{AA026BE7-6303-4E98-A63D-DEF1F3614B78}" type="presOf" srcId="{D3284563-CEAB-43B3-81C4-5F6C081CBB78}" destId="{09CBCBA7-E2EE-4654-BCFB-AB2C2D77E66B}" srcOrd="0" destOrd="0" presId="urn:microsoft.com/office/officeart/2005/8/layout/list1#1"/>
    <dgm:cxn modelId="{A17A0FEE-B9E9-425D-8CCC-DFD9DF6031D7}" srcId="{26C320EB-5352-40AA-A0A9-C13066E1373C}" destId="{B8D4D44E-BC9F-448F-A5D3-5B51BD088753}" srcOrd="3" destOrd="0" parTransId="{7560636A-A392-4D23-8062-A892B35B23D5}" sibTransId="{E5C12AC7-F876-43A8-A4A1-B40B9B604FBE}"/>
    <dgm:cxn modelId="{0C4BCB0A-FF11-4B44-8C0B-8229327A5EF5}" type="presParOf" srcId="{E5EECCA3-F875-4B71-92CC-9CCDFB7DBFEF}" destId="{667CAF5C-37C0-43B7-8B7E-02CCA3754DB9}" srcOrd="0" destOrd="0" presId="urn:microsoft.com/office/officeart/2005/8/layout/list1#1"/>
    <dgm:cxn modelId="{5960E463-E77D-4430-8516-A4E061443C03}" type="presParOf" srcId="{667CAF5C-37C0-43B7-8B7E-02CCA3754DB9}" destId="{58B158CB-C1D2-4676-88E6-6B3937A00A96}" srcOrd="0" destOrd="0" presId="urn:microsoft.com/office/officeart/2005/8/layout/list1#1"/>
    <dgm:cxn modelId="{F2DE4EEA-D35F-4DB1-B50F-E34C8C218F65}" type="presParOf" srcId="{667CAF5C-37C0-43B7-8B7E-02CCA3754DB9}" destId="{D0971512-D8E1-4E4B-89F4-FF2EB164C196}" srcOrd="1" destOrd="0" presId="urn:microsoft.com/office/officeart/2005/8/layout/list1#1"/>
    <dgm:cxn modelId="{2B0BC375-5BEB-492B-A70C-92F5192120E5}" type="presParOf" srcId="{E5EECCA3-F875-4B71-92CC-9CCDFB7DBFEF}" destId="{05E10EBB-C85A-471E-9935-B48B9C39A12E}" srcOrd="1" destOrd="0" presId="urn:microsoft.com/office/officeart/2005/8/layout/list1#1"/>
    <dgm:cxn modelId="{B2E27E3F-B089-4CAD-8339-29683519F66B}" type="presParOf" srcId="{E5EECCA3-F875-4B71-92CC-9CCDFB7DBFEF}" destId="{1F055725-8984-42CB-98CB-8E7728DD5EAB}" srcOrd="2" destOrd="0" presId="urn:microsoft.com/office/officeart/2005/8/layout/list1#1"/>
    <dgm:cxn modelId="{564CD40B-1022-4F58-A233-0F1EB1060FC0}" type="presParOf" srcId="{E5EECCA3-F875-4B71-92CC-9CCDFB7DBFEF}" destId="{5785404B-F53E-4CF2-A702-90A46E89CED8}" srcOrd="3" destOrd="0" presId="urn:microsoft.com/office/officeart/2005/8/layout/list1#1"/>
    <dgm:cxn modelId="{31B935AB-49E1-48BA-B674-A55F0E849F09}" type="presParOf" srcId="{E5EECCA3-F875-4B71-92CC-9CCDFB7DBFEF}" destId="{EF963990-07B7-4DBC-8CFE-C86D15B61BB6}" srcOrd="4" destOrd="0" presId="urn:microsoft.com/office/officeart/2005/8/layout/list1#1"/>
    <dgm:cxn modelId="{E05CD8DC-BC0C-4092-8CFC-5D9082780A06}" type="presParOf" srcId="{EF963990-07B7-4DBC-8CFE-C86D15B61BB6}" destId="{AEA4B341-6C57-43B8-BC42-9813D43D1335}" srcOrd="0" destOrd="0" presId="urn:microsoft.com/office/officeart/2005/8/layout/list1#1"/>
    <dgm:cxn modelId="{EC082C19-1979-405A-BDBD-CF721B248B7F}" type="presParOf" srcId="{EF963990-07B7-4DBC-8CFE-C86D15B61BB6}" destId="{DD07B078-3354-4F1B-9438-E4F95C4B43A6}" srcOrd="1" destOrd="0" presId="urn:microsoft.com/office/officeart/2005/8/layout/list1#1"/>
    <dgm:cxn modelId="{4ECB3ED1-1C66-4421-9B40-673FEC349F59}" type="presParOf" srcId="{E5EECCA3-F875-4B71-92CC-9CCDFB7DBFEF}" destId="{98F9047E-C8BE-4990-B6F7-84F4581E1FEA}" srcOrd="5" destOrd="0" presId="urn:microsoft.com/office/officeart/2005/8/layout/list1#1"/>
    <dgm:cxn modelId="{C70C7022-4D29-4354-B920-AB503B418765}" type="presParOf" srcId="{E5EECCA3-F875-4B71-92CC-9CCDFB7DBFEF}" destId="{FB20FF5F-D131-4A8A-AEBC-01A2B84D6655}" srcOrd="6" destOrd="0" presId="urn:microsoft.com/office/officeart/2005/8/layout/list1#1"/>
    <dgm:cxn modelId="{5FCF580D-496F-410B-BECF-1CA19943836C}" type="presParOf" srcId="{E5EECCA3-F875-4B71-92CC-9CCDFB7DBFEF}" destId="{AC1FEB9E-7ED9-4E44-9D47-B63AE5862158}" srcOrd="7" destOrd="0" presId="urn:microsoft.com/office/officeart/2005/8/layout/list1#1"/>
    <dgm:cxn modelId="{0D2E7C7C-5185-49A9-8D4B-72ED25C9C2EE}" type="presParOf" srcId="{E5EECCA3-F875-4B71-92CC-9CCDFB7DBFEF}" destId="{04A221FB-3A34-4804-9E1E-FAA254BEF819}" srcOrd="8" destOrd="0" presId="urn:microsoft.com/office/officeart/2005/8/layout/list1#1"/>
    <dgm:cxn modelId="{CB940F28-40D4-4688-A540-EACB398E6440}" type="presParOf" srcId="{04A221FB-3A34-4804-9E1E-FAA254BEF819}" destId="{09CBCBA7-E2EE-4654-BCFB-AB2C2D77E66B}" srcOrd="0" destOrd="0" presId="urn:microsoft.com/office/officeart/2005/8/layout/list1#1"/>
    <dgm:cxn modelId="{3E75152F-58E2-4294-9251-E1F1AAA47B13}" type="presParOf" srcId="{04A221FB-3A34-4804-9E1E-FAA254BEF819}" destId="{F8B30F84-9FC1-4455-B8FC-CA5DC2189586}" srcOrd="1" destOrd="0" presId="urn:microsoft.com/office/officeart/2005/8/layout/list1#1"/>
    <dgm:cxn modelId="{053DD9D3-A804-47B4-A987-EED8E2EA2FFC}" type="presParOf" srcId="{E5EECCA3-F875-4B71-92CC-9CCDFB7DBFEF}" destId="{75AF99AA-34AA-4169-A0AA-91E0CC0C2D15}" srcOrd="9" destOrd="0" presId="urn:microsoft.com/office/officeart/2005/8/layout/list1#1"/>
    <dgm:cxn modelId="{C24E7A94-04D7-4A10-B00D-4D119CAFE8A5}" type="presParOf" srcId="{E5EECCA3-F875-4B71-92CC-9CCDFB7DBFEF}" destId="{F855875C-E8B4-4273-8C6C-6A8EC3091B3C}" srcOrd="10" destOrd="0" presId="urn:microsoft.com/office/officeart/2005/8/layout/list1#1"/>
    <dgm:cxn modelId="{02155586-856C-42C9-B22E-97DB074EF406}" type="presParOf" srcId="{E5EECCA3-F875-4B71-92CC-9CCDFB7DBFEF}" destId="{3F578F12-6738-4880-839A-EAC62E5E4075}" srcOrd="11" destOrd="0" presId="urn:microsoft.com/office/officeart/2005/8/layout/list1#1"/>
    <dgm:cxn modelId="{EE2F9503-14A2-4306-A49D-CC6FBCA44FDF}" type="presParOf" srcId="{E5EECCA3-F875-4B71-92CC-9CCDFB7DBFEF}" destId="{FD06F426-E0E3-4FBF-8143-E6EC65CE5DDC}" srcOrd="12" destOrd="0" presId="urn:microsoft.com/office/officeart/2005/8/layout/list1#1"/>
    <dgm:cxn modelId="{D023658B-50DE-4C69-AD84-10A3D5F28378}" type="presParOf" srcId="{FD06F426-E0E3-4FBF-8143-E6EC65CE5DDC}" destId="{7E2622D8-4A99-4F6F-9254-620C3489F41E}" srcOrd="0" destOrd="0" presId="urn:microsoft.com/office/officeart/2005/8/layout/list1#1"/>
    <dgm:cxn modelId="{4E0ADD70-2712-4931-B7B9-E828996E4A3A}" type="presParOf" srcId="{FD06F426-E0E3-4FBF-8143-E6EC65CE5DDC}" destId="{C588402D-5FAF-4441-8EC0-61F0874C8AA9}" srcOrd="1" destOrd="0" presId="urn:microsoft.com/office/officeart/2005/8/layout/list1#1"/>
    <dgm:cxn modelId="{44BAC31E-AC75-485A-877B-F0B67EB69EDB}" type="presParOf" srcId="{E5EECCA3-F875-4B71-92CC-9CCDFB7DBFEF}" destId="{43D6F27A-EFC0-4FE7-9CAB-F548D91CB596}" srcOrd="13" destOrd="0" presId="urn:microsoft.com/office/officeart/2005/8/layout/list1#1"/>
    <dgm:cxn modelId="{68B2A426-E3D8-4780-AE72-ADF1533D9DC2}" type="presParOf" srcId="{E5EECCA3-F875-4B71-92CC-9CCDFB7DBFEF}" destId="{FB1B2E71-2E8B-41AA-88D6-61594D13AA75}" srcOrd="14" destOrd="0" presId="urn:microsoft.com/office/officeart/2005/8/layout/list1#1"/>
    <dgm:cxn modelId="{ADBBC9BB-B7BC-4028-BE85-E885F1E8498E}" type="presParOf" srcId="{E5EECCA3-F875-4B71-92CC-9CCDFB7DBFEF}" destId="{B6973FF0-B692-4684-BF08-39671014766A}" srcOrd="15" destOrd="0" presId="urn:microsoft.com/office/officeart/2005/8/layout/list1#1"/>
    <dgm:cxn modelId="{B07B0B8E-F177-4B6B-BC67-EBB9CC97FD4D}" type="presParOf" srcId="{E5EECCA3-F875-4B71-92CC-9CCDFB7DBFEF}" destId="{BAA3018F-ADFC-4829-A3AB-7D6E46F70FE6}" srcOrd="16" destOrd="0" presId="urn:microsoft.com/office/officeart/2005/8/layout/list1#1"/>
    <dgm:cxn modelId="{7F2D3745-D4C1-40BB-9CDA-ED29178CFF21}" type="presParOf" srcId="{BAA3018F-ADFC-4829-A3AB-7D6E46F70FE6}" destId="{B9ED34AF-B789-4137-BA3C-725EC0A2D6D6}" srcOrd="0" destOrd="0" presId="urn:microsoft.com/office/officeart/2005/8/layout/list1#1"/>
    <dgm:cxn modelId="{D42E53F7-2422-4C95-AFA7-A7D652B802C8}" type="presParOf" srcId="{BAA3018F-ADFC-4829-A3AB-7D6E46F70FE6}" destId="{662D6512-1D52-49EB-A91F-4D4DAF3F7740}" srcOrd="1" destOrd="0" presId="urn:microsoft.com/office/officeart/2005/8/layout/list1#1"/>
    <dgm:cxn modelId="{B643AE12-1230-4791-AE35-9EBE43BA8E5D}" type="presParOf" srcId="{E5EECCA3-F875-4B71-92CC-9CCDFB7DBFEF}" destId="{07988013-C8CC-4F64-B795-2168E7FF401E}" srcOrd="17" destOrd="0" presId="urn:microsoft.com/office/officeart/2005/8/layout/list1#1"/>
    <dgm:cxn modelId="{1509A6C1-D250-491D-B833-703EC12A5945}" type="presParOf" srcId="{E5EECCA3-F875-4B71-92CC-9CCDFB7DBFEF}" destId="{7893ACA9-528C-4BE9-AD56-E10B3EC3D72D}" srcOrd="18" destOrd="0" presId="urn:microsoft.com/office/officeart/2005/8/layout/list1#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F055725-8984-42CB-98CB-8E7728DD5EAB}">
      <dsp:nvSpPr>
        <dsp:cNvPr id="0" name=""/>
        <dsp:cNvSpPr/>
      </dsp:nvSpPr>
      <dsp:spPr>
        <a:xfrm>
          <a:off x="0" y="316412"/>
          <a:ext cx="3685540" cy="352800"/>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86039" tIns="291592" rIns="286039" bIns="99568" numCol="1" spcCol="1270" anchor="t" anchorCtr="0">
          <a:noAutofit/>
        </a:bodyPr>
        <a:lstStyle/>
        <a:p>
          <a:pPr marL="114300" lvl="1" indent="-114300" algn="l" defTabSz="622300">
            <a:lnSpc>
              <a:spcPct val="100000"/>
            </a:lnSpc>
            <a:spcBef>
              <a:spcPct val="0"/>
            </a:spcBef>
            <a:spcAft>
              <a:spcPct val="15000"/>
            </a:spcAft>
            <a:buChar char="•"/>
          </a:pPr>
          <a:endParaRPr sz="1400" kern="1200">
            <a:latin typeface="黑体" panose="02010609060101010101" charset="-122"/>
            <a:ea typeface="黑体" panose="02010609060101010101" charset="-122"/>
          </a:endParaRPr>
        </a:p>
      </dsp:txBody>
      <dsp:txXfrm>
        <a:off x="0" y="316412"/>
        <a:ext cx="3685540" cy="352800"/>
      </dsp:txXfrm>
    </dsp:sp>
    <dsp:sp modelId="{D0971512-D8E1-4E4B-89F4-FF2EB164C196}">
      <dsp:nvSpPr>
        <dsp:cNvPr id="0" name=""/>
        <dsp:cNvSpPr/>
      </dsp:nvSpPr>
      <dsp:spPr>
        <a:xfrm>
          <a:off x="184277" y="109772"/>
          <a:ext cx="2579878" cy="413280"/>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7513" tIns="0" rIns="97513" bIns="0" numCol="1" spcCol="1270" anchor="ctr" anchorCtr="0">
          <a:noAutofit/>
        </a:bodyPr>
        <a:lstStyle/>
        <a:p>
          <a:pPr marL="0" lvl="0" indent="0" algn="l" defTabSz="622300">
            <a:lnSpc>
              <a:spcPct val="100000"/>
            </a:lnSpc>
            <a:spcBef>
              <a:spcPct val="0"/>
            </a:spcBef>
            <a:spcAft>
              <a:spcPct val="35000"/>
            </a:spcAft>
            <a:buNone/>
          </a:pPr>
          <a:r>
            <a:rPr lang="zh-CN" altLang="en-US" sz="1400" b="1" kern="1200">
              <a:solidFill>
                <a:sysClr val="windowText" lastClr="000000"/>
              </a:solidFill>
              <a:latin typeface="黑体" panose="02010609060101010101" charset="-122"/>
              <a:ea typeface="黑体" panose="02010609060101010101" charset="-122"/>
            </a:rPr>
            <a:t>市场回顾</a:t>
          </a:r>
          <a:r>
            <a:rPr lang="en-US" altLang="zh-CN" sz="1400" b="1" kern="1200">
              <a:solidFill>
                <a:sysClr val="windowText" lastClr="000000"/>
              </a:solidFill>
              <a:latin typeface="黑体" panose="02010609060101010101" charset="-122"/>
              <a:ea typeface="黑体" panose="02010609060101010101" charset="-122"/>
            </a:rPr>
            <a:t>-</a:t>
          </a:r>
          <a:r>
            <a:rPr lang="zh-CN" altLang="en-US" sz="1400" b="1" kern="1200">
              <a:solidFill>
                <a:sysClr val="windowText" lastClr="000000"/>
              </a:solidFill>
              <a:latin typeface="黑体" panose="02010609060101010101" charset="-122"/>
              <a:ea typeface="黑体" panose="02010609060101010101" charset="-122"/>
            </a:rPr>
            <a:t>碳酸锂</a:t>
          </a:r>
        </a:p>
      </dsp:txBody>
      <dsp:txXfrm>
        <a:off x="204452" y="129947"/>
        <a:ext cx="2539528" cy="372930"/>
      </dsp:txXfrm>
    </dsp:sp>
    <dsp:sp modelId="{FB20FF5F-D131-4A8A-AEBC-01A2B84D6655}">
      <dsp:nvSpPr>
        <dsp:cNvPr id="0" name=""/>
        <dsp:cNvSpPr/>
      </dsp:nvSpPr>
      <dsp:spPr>
        <a:xfrm>
          <a:off x="0" y="951452"/>
          <a:ext cx="3685540" cy="352800"/>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86039" tIns="291592" rIns="286039" bIns="99568" numCol="1" spcCol="1270" anchor="t" anchorCtr="0">
          <a:noAutofit/>
        </a:bodyPr>
        <a:lstStyle/>
        <a:p>
          <a:pPr marL="114300" lvl="1" indent="-114300" algn="l" defTabSz="622300">
            <a:lnSpc>
              <a:spcPct val="100000"/>
            </a:lnSpc>
            <a:spcBef>
              <a:spcPct val="0"/>
            </a:spcBef>
            <a:spcAft>
              <a:spcPct val="15000"/>
            </a:spcAft>
            <a:buChar char="•"/>
          </a:pPr>
          <a:endParaRPr sz="1400" kern="1200">
            <a:latin typeface="黑体" panose="02010609060101010101" charset="-122"/>
            <a:ea typeface="黑体" panose="02010609060101010101" charset="-122"/>
          </a:endParaRPr>
        </a:p>
      </dsp:txBody>
      <dsp:txXfrm>
        <a:off x="0" y="951452"/>
        <a:ext cx="3685540" cy="352800"/>
      </dsp:txXfrm>
    </dsp:sp>
    <dsp:sp modelId="{DD07B078-3354-4F1B-9438-E4F95C4B43A6}">
      <dsp:nvSpPr>
        <dsp:cNvPr id="0" name=""/>
        <dsp:cNvSpPr/>
      </dsp:nvSpPr>
      <dsp:spPr>
        <a:xfrm>
          <a:off x="184277" y="744812"/>
          <a:ext cx="2579878" cy="413280"/>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7513" tIns="0" rIns="97513" bIns="0" numCol="1" spcCol="1270" anchor="ctr" anchorCtr="0">
          <a:noAutofit/>
        </a:bodyPr>
        <a:lstStyle/>
        <a:p>
          <a:pPr marL="0" lvl="0" indent="0" algn="l" defTabSz="622300">
            <a:lnSpc>
              <a:spcPct val="100000"/>
            </a:lnSpc>
            <a:spcBef>
              <a:spcPct val="0"/>
            </a:spcBef>
            <a:spcAft>
              <a:spcPct val="35000"/>
            </a:spcAft>
            <a:buNone/>
          </a:pPr>
          <a:r>
            <a:rPr lang="zh-CN" altLang="en-US" sz="1400" b="1" kern="1200">
              <a:solidFill>
                <a:sysClr val="windowText" lastClr="000000"/>
              </a:solidFill>
              <a:latin typeface="黑体" panose="02010609060101010101" charset="-122"/>
              <a:ea typeface="黑体" panose="02010609060101010101" charset="-122"/>
            </a:rPr>
            <a:t>机构分析</a:t>
          </a:r>
        </a:p>
      </dsp:txBody>
      <dsp:txXfrm>
        <a:off x="204452" y="764987"/>
        <a:ext cx="2539528" cy="372930"/>
      </dsp:txXfrm>
    </dsp:sp>
    <dsp:sp modelId="{F855875C-E8B4-4273-8C6C-6A8EC3091B3C}">
      <dsp:nvSpPr>
        <dsp:cNvPr id="0" name=""/>
        <dsp:cNvSpPr/>
      </dsp:nvSpPr>
      <dsp:spPr>
        <a:xfrm>
          <a:off x="0" y="1586492"/>
          <a:ext cx="3685540" cy="352800"/>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86039" tIns="291592" rIns="286039" bIns="99568" numCol="1" spcCol="1270" anchor="t" anchorCtr="0">
          <a:noAutofit/>
        </a:bodyPr>
        <a:lstStyle/>
        <a:p>
          <a:pPr marL="114300" lvl="1" indent="-114300" algn="l" defTabSz="622300">
            <a:lnSpc>
              <a:spcPct val="100000"/>
            </a:lnSpc>
            <a:spcBef>
              <a:spcPct val="0"/>
            </a:spcBef>
            <a:spcAft>
              <a:spcPct val="15000"/>
            </a:spcAft>
            <a:buChar char="•"/>
          </a:pPr>
          <a:endParaRPr sz="1400" kern="1200">
            <a:latin typeface="黑体" panose="02010609060101010101" charset="-122"/>
            <a:ea typeface="黑体" panose="02010609060101010101" charset="-122"/>
          </a:endParaRPr>
        </a:p>
      </dsp:txBody>
      <dsp:txXfrm>
        <a:off x="0" y="1586492"/>
        <a:ext cx="3685540" cy="352800"/>
      </dsp:txXfrm>
    </dsp:sp>
    <dsp:sp modelId="{F8B30F84-9FC1-4455-B8FC-CA5DC2189586}">
      <dsp:nvSpPr>
        <dsp:cNvPr id="0" name=""/>
        <dsp:cNvSpPr/>
      </dsp:nvSpPr>
      <dsp:spPr>
        <a:xfrm>
          <a:off x="184277" y="1379852"/>
          <a:ext cx="2579878" cy="413280"/>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7513" tIns="0" rIns="97513" bIns="0" numCol="1" spcCol="1270" anchor="ctr" anchorCtr="0">
          <a:noAutofit/>
        </a:bodyPr>
        <a:lstStyle/>
        <a:p>
          <a:pPr marL="0" lvl="0" indent="0" algn="l" defTabSz="622300">
            <a:lnSpc>
              <a:spcPct val="100000"/>
            </a:lnSpc>
            <a:spcBef>
              <a:spcPct val="0"/>
            </a:spcBef>
            <a:spcAft>
              <a:spcPct val="35000"/>
            </a:spcAft>
            <a:buNone/>
          </a:pPr>
          <a:r>
            <a:rPr lang="zh-CN" altLang="en-US" sz="1400" b="1" kern="1200">
              <a:solidFill>
                <a:sysClr val="windowText" lastClr="000000"/>
              </a:solidFill>
              <a:latin typeface="黑体" panose="02010609060101010101" charset="-122"/>
              <a:ea typeface="黑体" panose="02010609060101010101" charset="-122"/>
            </a:rPr>
            <a:t>行业动态</a:t>
          </a:r>
        </a:p>
      </dsp:txBody>
      <dsp:txXfrm>
        <a:off x="204452" y="1400027"/>
        <a:ext cx="2539528" cy="372930"/>
      </dsp:txXfrm>
    </dsp:sp>
    <dsp:sp modelId="{FB1B2E71-2E8B-41AA-88D6-61594D13AA75}">
      <dsp:nvSpPr>
        <dsp:cNvPr id="0" name=""/>
        <dsp:cNvSpPr/>
      </dsp:nvSpPr>
      <dsp:spPr>
        <a:xfrm>
          <a:off x="0" y="2221532"/>
          <a:ext cx="3685540" cy="352800"/>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86039" tIns="291592" rIns="286039" bIns="99568" numCol="1" spcCol="1270" anchor="t" anchorCtr="0">
          <a:noAutofit/>
        </a:bodyPr>
        <a:lstStyle/>
        <a:p>
          <a:pPr marL="114300" lvl="1" indent="-114300" algn="l" defTabSz="622300">
            <a:lnSpc>
              <a:spcPct val="100000"/>
            </a:lnSpc>
            <a:spcBef>
              <a:spcPct val="0"/>
            </a:spcBef>
            <a:spcAft>
              <a:spcPct val="15000"/>
            </a:spcAft>
            <a:buChar char="•"/>
          </a:pPr>
          <a:endParaRPr sz="1400" kern="1200">
            <a:latin typeface="黑体" panose="02010609060101010101" charset="-122"/>
            <a:ea typeface="黑体" panose="02010609060101010101" charset="-122"/>
          </a:endParaRPr>
        </a:p>
      </dsp:txBody>
      <dsp:txXfrm>
        <a:off x="0" y="2221532"/>
        <a:ext cx="3685540" cy="352800"/>
      </dsp:txXfrm>
    </dsp:sp>
    <dsp:sp modelId="{C588402D-5FAF-4441-8EC0-61F0874C8AA9}">
      <dsp:nvSpPr>
        <dsp:cNvPr id="0" name=""/>
        <dsp:cNvSpPr/>
      </dsp:nvSpPr>
      <dsp:spPr>
        <a:xfrm>
          <a:off x="184277" y="2014892"/>
          <a:ext cx="2579878" cy="413280"/>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7513" tIns="0" rIns="97513" bIns="0" numCol="1" spcCol="1270" anchor="ctr" anchorCtr="0">
          <a:noAutofit/>
        </a:bodyPr>
        <a:lstStyle/>
        <a:p>
          <a:pPr marL="0" lvl="0" indent="0" algn="l" defTabSz="622300">
            <a:lnSpc>
              <a:spcPct val="100000"/>
            </a:lnSpc>
            <a:spcBef>
              <a:spcPct val="0"/>
            </a:spcBef>
            <a:spcAft>
              <a:spcPct val="35000"/>
            </a:spcAft>
            <a:buNone/>
          </a:pPr>
          <a:r>
            <a:rPr lang="zh-CN" sz="1400" b="1" kern="1200">
              <a:solidFill>
                <a:sysClr val="windowText" lastClr="000000"/>
              </a:solidFill>
              <a:latin typeface="黑体" panose="02010609060101010101" charset="-122"/>
              <a:ea typeface="黑体" panose="02010609060101010101" charset="-122"/>
            </a:rPr>
            <a:t>企业跟踪</a:t>
          </a:r>
        </a:p>
      </dsp:txBody>
      <dsp:txXfrm>
        <a:off x="204452" y="2035067"/>
        <a:ext cx="2539528" cy="372930"/>
      </dsp:txXfrm>
    </dsp:sp>
    <dsp:sp modelId="{7893ACA9-528C-4BE9-AD56-E10B3EC3D72D}">
      <dsp:nvSpPr>
        <dsp:cNvPr id="0" name=""/>
        <dsp:cNvSpPr/>
      </dsp:nvSpPr>
      <dsp:spPr>
        <a:xfrm>
          <a:off x="0" y="2856572"/>
          <a:ext cx="3685540" cy="352800"/>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86039" tIns="291592" rIns="286039" bIns="99568" numCol="1" spcCol="1270" anchor="t" anchorCtr="0">
          <a:noAutofit/>
        </a:bodyPr>
        <a:lstStyle/>
        <a:p>
          <a:pPr marL="114300" lvl="1" indent="-114300" algn="l" defTabSz="622300">
            <a:lnSpc>
              <a:spcPct val="100000"/>
            </a:lnSpc>
            <a:spcBef>
              <a:spcPct val="0"/>
            </a:spcBef>
            <a:spcAft>
              <a:spcPct val="15000"/>
            </a:spcAft>
            <a:buChar char="•"/>
          </a:pPr>
          <a:endParaRPr sz="1400" kern="1200">
            <a:latin typeface="黑体" panose="02010609060101010101" charset="-122"/>
            <a:ea typeface="黑体" panose="02010609060101010101" charset="-122"/>
          </a:endParaRPr>
        </a:p>
      </dsp:txBody>
      <dsp:txXfrm>
        <a:off x="0" y="2856572"/>
        <a:ext cx="3685540" cy="352800"/>
      </dsp:txXfrm>
    </dsp:sp>
    <dsp:sp modelId="{662D6512-1D52-49EB-A91F-4D4DAF3F7740}">
      <dsp:nvSpPr>
        <dsp:cNvPr id="0" name=""/>
        <dsp:cNvSpPr/>
      </dsp:nvSpPr>
      <dsp:spPr>
        <a:xfrm>
          <a:off x="184277" y="2649932"/>
          <a:ext cx="2579878" cy="413280"/>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7513" tIns="0" rIns="97513" bIns="0" numCol="1" spcCol="1270" anchor="ctr" anchorCtr="0">
          <a:noAutofit/>
        </a:bodyPr>
        <a:lstStyle/>
        <a:p>
          <a:pPr marL="0" lvl="0" indent="0" algn="l" defTabSz="622300">
            <a:lnSpc>
              <a:spcPct val="100000"/>
            </a:lnSpc>
            <a:spcBef>
              <a:spcPct val="0"/>
            </a:spcBef>
            <a:spcAft>
              <a:spcPct val="35000"/>
            </a:spcAft>
            <a:buNone/>
          </a:pPr>
          <a:r>
            <a:rPr lang="zh-CN" sz="1400" b="1" kern="1200">
              <a:solidFill>
                <a:sysClr val="windowText" lastClr="000000"/>
              </a:solidFill>
              <a:latin typeface="黑体" panose="02010609060101010101" charset="-122"/>
              <a:ea typeface="黑体" panose="02010609060101010101" charset="-122"/>
            </a:rPr>
            <a:t>高新技术</a:t>
          </a:r>
        </a:p>
      </dsp:txBody>
      <dsp:txXfrm>
        <a:off x="204452" y="2670107"/>
        <a:ext cx="2539528" cy="372930"/>
      </dsp:txXfrm>
    </dsp:sp>
  </dsp:spTree>
</dsp:drawing>
</file>

<file path=word/diagrams/layout1.xml><?xml version="1.0" encoding="utf-8"?>
<dgm:layoutDef xmlns:dgm="http://schemas.openxmlformats.org/drawingml/2006/diagram" xmlns:a="http://schemas.openxmlformats.org/drawingml/2006/main" uniqueId="urn:microsoft.com/office/officeart/2005/8/layout/list1#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rSet qsTypeId="urn:microsoft.com/office/officeart/2005/8/quickstyle/simple5"/>
        </dgm:pt>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nodeHorzAlign" val="l"/>
          <dgm:param type="horzAlign" val="l"/>
        </dgm:alg>
      </dgm:if>
      <dgm:else name="Name2">
        <dgm:alg type="lin">
          <dgm:param type="linDir" val="fromT"/>
          <dgm:param type="vertAlign" val="mid"/>
          <dgm:param type="nodeHorzAlign" val="r"/>
          <dgm:param typ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nodeHorzAlign" val="l"/>
              <dgm:param type="horzAlign" val="l"/>
            </dgm:alg>
          </dgm:if>
          <dgm:else name="Name6">
            <dgm:alg type="lin">
              <dgm:param type="linDir" val="fromR"/>
              <dgm:param type="nodeHorzAlign" val="r"/>
              <dgm:param typ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1">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607</Words>
  <Characters>3466</Characters>
  <Application>Microsoft Office Word</Application>
  <DocSecurity>0</DocSecurity>
  <Lines>28</Lines>
  <Paragraphs>8</Paragraphs>
  <ScaleCrop>false</ScaleCrop>
  <Company/>
  <LinksUpToDate>false</LinksUpToDate>
  <CharactersWithSpaces>4065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dc:creator>
  <cp:lastModifiedBy>shumx001</cp:lastModifiedBy>
  <cp:revision>15</cp:revision>
  <cp:lastPrinted>2018-05-17T06:20:00Z</cp:lastPrinted>
  <dcterms:created xsi:type="dcterms:W3CDTF">2018-06-04T03:15:00Z</dcterms:created>
  <dcterms:modified xsi:type="dcterms:W3CDTF">2018-12-17T06:50:00Z</dcterms:modified>
</cp:coreProperties>
</file>